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481—57.1</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this chapter and to </w:t>
      </w:r>
      <w:hyperlink r:id="rId4">
        <w:r>
          <w:rPr>
            <w:rStyle w:val="Hyperlink"/>
            <w:rFonts w:ascii="Times New Roman" w:hAnsi="Times New Roman"/>
            <w:b w:val="false"/>
            <w:i w:val="false"/>
            <w:color w:val="000000"/>
            <w:sz w:val="22"/>
          </w:rPr>
          <w:t>481—Chapter 62</w:t>
        </w:r>
      </w:hyperlink>
      <w:r>
        <w:rPr>
          <w:rFonts w:ascii="Times New Roman" w:hAnsi="Times New Roman"/>
          <w:b w:val="false"/>
          <w:i w:val="false"/>
          <w:color w:val="000000"/>
          <w:sz w:val="22"/>
        </w:rPr>
        <w:t xml:space="preserve">. The definitions set out in Iowa Code section </w:t>
      </w:r>
      <w:hyperlink r:id="rId5">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shall be considered to be incorporated verbatim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“Accommodation”</w:t>
      </w:r>
      <w:r>
        <w:rPr>
          <w:rFonts w:ascii="Times New Roman" w:hAnsi="Times New Roman"/>
          <w:b w:val="false"/>
          <w:i w:val="false"/>
          <w:color w:val="000000"/>
          <w:sz w:val="22"/>
        </w:rPr>
        <w:t> </w:t>
      </w:r>
      <w:r>
        <w:rPr>
          <w:rFonts w:ascii="Times New Roman" w:hAnsi="Times New Roman"/>
          <w:b w:val="false"/>
          <w:i w:val="false"/>
          <w:color w:val="000000"/>
          <w:sz w:val="22"/>
        </w:rPr>
        <w:t>means the provision of lodging, including sleeping, dining, and living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“Activities of daily living”</w:t>
      </w:r>
      <w:r>
        <w:rPr>
          <w:rFonts w:ascii="Times New Roman" w:hAnsi="Times New Roman"/>
          <w:b w:val="false"/>
          <w:i w:val="false"/>
          <w:color w:val="000000"/>
          <w:sz w:val="22"/>
        </w:rPr>
        <w:t> </w:t>
      </w:r>
      <w:r>
        <w:rPr>
          <w:rFonts w:ascii="Times New Roman" w:hAnsi="Times New Roman"/>
          <w:b w:val="false"/>
          <w:i w:val="false"/>
          <w:color w:val="000000"/>
          <w:sz w:val="22"/>
        </w:rPr>
        <w:t>means the following self-care tasks: bathing, dressing, grooming, eating, transferring, toileting and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“Administrator”</w:t>
      </w:r>
      <w:r>
        <w:rPr>
          <w:rFonts w:ascii="Times New Roman" w:hAnsi="Times New Roman"/>
          <w:b w:val="false"/>
          <w:i w:val="false"/>
          <w:color w:val="000000"/>
          <w:sz w:val="22"/>
        </w:rPr>
        <w:t> </w:t>
      </w:r>
      <w:r>
        <w:rPr>
          <w:rFonts w:ascii="Times New Roman" w:hAnsi="Times New Roman"/>
          <w:b w:val="false"/>
          <w:i w:val="false"/>
          <w:color w:val="000000"/>
          <w:sz w:val="22"/>
        </w:rPr>
        <w:t>means a person approved by the department who administers, manages, supervises, and is in general administrative charge of a residential care facility, whether or not such person has an ownership interest in the facility, and whether or not the functions and duties are shared with one or more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“Ambulatory”</w:t>
      </w:r>
      <w:r>
        <w:rPr>
          <w:rFonts w:ascii="Times New Roman" w:hAnsi="Times New Roman"/>
          <w:b w:val="false"/>
          <w:i w:val="false"/>
          <w:color w:val="000000"/>
          <w:sz w:val="22"/>
        </w:rPr>
        <w:t> </w:t>
      </w:r>
      <w:r>
        <w:rPr>
          <w:rFonts w:ascii="Times New Roman" w:hAnsi="Times New Roman"/>
          <w:b w:val="false"/>
          <w:i w:val="false"/>
          <w:color w:val="000000"/>
          <w:sz w:val="22"/>
        </w:rPr>
        <w:t>means the condition of a person who immediately and without the aid of another person is physically and mentally capable of traveling a normal path to safety, including the ascent and descent of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“Basement”</w:t>
      </w:r>
      <w:r>
        <w:rPr>
          <w:rFonts w:ascii="Times New Roman" w:hAnsi="Times New Roman"/>
          <w:b w:val="false"/>
          <w:i w:val="false"/>
          <w:color w:val="000000"/>
          <w:sz w:val="22"/>
        </w:rPr>
        <w:t> </w:t>
      </w:r>
      <w:r>
        <w:rPr>
          <w:rFonts w:ascii="Times New Roman" w:hAnsi="Times New Roman"/>
          <w:b w:val="false"/>
          <w:i w:val="false"/>
          <w:color w:val="000000"/>
          <w:sz w:val="22"/>
        </w:rPr>
        <w:t>means that part of a building where the finish floor is more than 30 inches below the finish grade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regular provision of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“Change of ownership”</w:t>
      </w:r>
      <w:r>
        <w:rPr>
          <w:rFonts w:ascii="Times New Roman" w:hAnsi="Times New Roman"/>
          <w:b w:val="false"/>
          <w:i w:val="false"/>
          <w:color w:val="000000"/>
          <w:sz w:val="22"/>
        </w:rPr>
        <w:t> </w:t>
      </w:r>
      <w:r>
        <w:rPr>
          <w:rFonts w:ascii="Times New Roman" w:hAnsi="Times New Roman"/>
          <w:b w:val="false"/>
          <w:i w:val="false"/>
          <w:color w:val="000000"/>
          <w:sz w:val="22"/>
        </w:rPr>
        <w:t>means the purchase, transfer, assignment, or lease of a licensed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“Communicable disease”</w:t>
      </w:r>
      <w:r>
        <w:rPr>
          <w:rFonts w:ascii="Times New Roman" w:hAnsi="Times New Roman"/>
          <w:b w:val="false"/>
          <w:i w:val="false"/>
          <w:color w:val="000000"/>
          <w:sz w:val="22"/>
        </w:rPr>
        <w:t> </w:t>
      </w:r>
      <w:r>
        <w:rPr>
          <w:rFonts w:ascii="Times New Roman" w:hAnsi="Times New Roman"/>
          <w:b w:val="false"/>
          <w:i w:val="false"/>
          <w:color w:val="000000"/>
          <w:sz w:val="22"/>
        </w:rPr>
        <w:t>means a disease caused by the presence within a person’s body of a virus or microbial agent which may be transmitted either directly or indirectly to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“Distinct part”</w:t>
      </w:r>
      <w:r>
        <w:rPr>
          <w:rFonts w:ascii="Times New Roman" w:hAnsi="Times New Roman"/>
          <w:b w:val="false"/>
          <w:i w:val="false"/>
          <w:color w:val="000000"/>
          <w:sz w:val="22"/>
        </w:rPr>
        <w:t> </w:t>
      </w:r>
      <w:r>
        <w:rPr>
          <w:rFonts w:ascii="Times New Roman" w:hAnsi="Times New Roman"/>
          <w:b w:val="false"/>
          <w:i w:val="false"/>
          <w:color w:val="000000"/>
          <w:sz w:val="22"/>
        </w:rPr>
        <w:t>means a clearly identifiable area or section containing contiguous rooms within a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“Interdisciplinary team”</w:t>
      </w:r>
      <w:r>
        <w:rPr>
          <w:rFonts w:ascii="Times New Roman" w:hAnsi="Times New Roman"/>
          <w:b w:val="false"/>
          <w:i w:val="false"/>
          <w:color w:val="000000"/>
          <w:sz w:val="22"/>
        </w:rPr>
        <w:t> </w:t>
      </w:r>
      <w:r>
        <w:rPr>
          <w:rFonts w:ascii="Times New Roman" w:hAnsi="Times New Roman"/>
          <w:b w:val="false"/>
          <w:i w:val="false"/>
          <w:color w:val="000000"/>
          <w:sz w:val="22"/>
        </w:rPr>
        <w:t>means the group of persons who develop a single, integrated, individual program plan to meet a resident’s needs for services. The interdisciplinary team consists of, at a minimum, the resident, the resident’s legal guardian if applicable, the resident’s advocate if desired by the resident, a referral agency representative, other appropriate staff members, other providers of services, and other persons relevant to the resident’s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“Legal representative”</w:t>
      </w:r>
      <w:r>
        <w:rPr>
          <w:rFonts w:ascii="Times New Roman" w:hAnsi="Times New Roman"/>
          <w:b w:val="false"/>
          <w:i w:val="false"/>
          <w:color w:val="000000"/>
          <w:sz w:val="22"/>
        </w:rPr>
        <w:t> </w:t>
      </w:r>
      <w:r>
        <w:rPr>
          <w:rFonts w:ascii="Times New Roman" w:hAnsi="Times New Roman"/>
          <w:b w:val="false"/>
          <w:i w:val="false"/>
          <w:color w:val="000000"/>
          <w:sz w:val="22"/>
        </w:rPr>
        <w:t>means the resident’s guardian or conservator if one has been appointed or the resident’s power of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“Mechanical restraint”</w:t>
      </w:r>
      <w:r>
        <w:rPr>
          <w:rFonts w:ascii="Times New Roman" w:hAnsi="Times New Roman"/>
          <w:b w:val="false"/>
          <w:i w:val="false"/>
          <w:color w:val="000000"/>
          <w:sz w:val="22"/>
        </w:rPr>
        <w:t> </w:t>
      </w:r>
      <w:r>
        <w:rPr>
          <w:rFonts w:ascii="Times New Roman" w:hAnsi="Times New Roman"/>
          <w:b w:val="false"/>
          <w:i w:val="false"/>
          <w:color w:val="000000"/>
          <w:sz w:val="22"/>
        </w:rPr>
        <w:t>means restriction by the use of a mechanical device of a resident’s mobility or ability to use the hands, arms or legs.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“Medication”</w:t>
      </w:r>
      <w:r>
        <w:rPr>
          <w:rFonts w:ascii="Times New Roman" w:hAnsi="Times New Roman"/>
          <w:b w:val="false"/>
          <w:i w:val="false"/>
          <w:color w:val="000000"/>
          <w:sz w:val="22"/>
        </w:rPr>
        <w:t> </w:t>
      </w:r>
      <w:r>
        <w:rPr>
          <w:rFonts w:ascii="Times New Roman" w:hAnsi="Times New Roman"/>
          <w:b w:val="false"/>
          <w:i w:val="false"/>
          <w:color w:val="000000"/>
          <w:sz w:val="22"/>
        </w:rPr>
        <w:t>means any drug, including over-the-counter substances, ordered and administered under the direction of the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“Nonambulatory”</w:t>
      </w:r>
      <w:r>
        <w:rPr>
          <w:rFonts w:ascii="Times New Roman" w:hAnsi="Times New Roman"/>
          <w:b w:val="false"/>
          <w:i w:val="false"/>
          <w:color w:val="000000"/>
          <w:sz w:val="22"/>
        </w:rPr>
        <w:t> </w:t>
      </w:r>
      <w:r>
        <w:rPr>
          <w:rFonts w:ascii="Times New Roman" w:hAnsi="Times New Roman"/>
          <w:b w:val="false"/>
          <w:i w:val="false"/>
          <w:color w:val="000000"/>
          <w:sz w:val="22"/>
        </w:rPr>
        <w:t>means the condition of a person who immediately and without the aid of another person is not physically or mentally capable of traveling a normal path to safety, including the ascent and descent of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 care”</w:t>
      </w:r>
      <w:r>
        <w:rPr>
          <w:rFonts w:ascii="Times New Roman" w:hAnsi="Times New Roman"/>
          <w:b w:val="false"/>
          <w:i w:val="false"/>
          <w:color w:val="000000"/>
          <w:sz w:val="22"/>
        </w:rPr>
        <w:t> </w:t>
      </w:r>
      <w:r>
        <w:rPr>
          <w:rFonts w:ascii="Times New Roman" w:hAnsi="Times New Roman"/>
          <w:b w:val="false"/>
          <w:i w:val="false"/>
          <w:color w:val="000000"/>
          <w:sz w:val="22"/>
        </w:rPr>
        <w:t>means assistance with the activities of daily living which the recipient can perform only with difficulty. Examples are help in getting in and out of bed, assistance with personal hygiene and bathing, help with dressing and eating, and supervision over medications which can be self-administered.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restraint”</w:t>
      </w:r>
      <w:r>
        <w:rPr>
          <w:rFonts w:ascii="Times New Roman" w:hAnsi="Times New Roman"/>
          <w:b w:val="false"/>
          <w:i w:val="false"/>
          <w:color w:val="000000"/>
          <w:sz w:val="22"/>
        </w:rPr>
        <w:t> </w:t>
      </w:r>
      <w:r>
        <w:rPr>
          <w:rFonts w:ascii="Times New Roman" w:hAnsi="Times New Roman"/>
          <w:b w:val="false"/>
          <w:i w:val="false"/>
          <w:color w:val="000000"/>
          <w:sz w:val="22"/>
        </w:rPr>
        <w:t>means direct physical contact on the part of a staff person to control a resident’s physical activity for the resident’s own protection or for the protection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care provider”</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 who provide primary care and meet licensure standards: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physician who is a family or general practitioner or an internist.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advanced registered nurse practitioner.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 of care”</w:t>
      </w:r>
      <w:r>
        <w:rPr>
          <w:rFonts w:ascii="Times New Roman" w:hAnsi="Times New Roman"/>
          <w:b w:val="false"/>
          <w:i w:val="false"/>
          <w:color w:val="000000"/>
          <w:sz w:val="22"/>
        </w:rPr>
        <w:t> </w:t>
      </w:r>
      <w:r>
        <w:rPr>
          <w:rFonts w:ascii="Times New Roman" w:hAnsi="Times New Roman"/>
          <w:b w:val="false"/>
          <w:i w:val="false"/>
          <w:color w:val="000000"/>
          <w:sz w:val="22"/>
        </w:rPr>
        <w:t>means all services being provided for a resident in a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“Prone restraint”</w:t>
      </w:r>
      <w:r>
        <w:rPr>
          <w:rFonts w:ascii="Times New Roman" w:hAnsi="Times New Roman"/>
          <w:b w:val="false"/>
          <w:i w:val="false"/>
          <w:color w:val="000000"/>
          <w:sz w:val="22"/>
        </w:rPr>
        <w:t> </w:t>
      </w:r>
      <w:r>
        <w:rPr>
          <w:rFonts w:ascii="Times New Roman" w:hAnsi="Times New Roman"/>
          <w:b w:val="false"/>
          <w:i w:val="false"/>
          <w:color w:val="000000"/>
          <w:sz w:val="22"/>
        </w:rPr>
        <w:t>means a restraint in which a resident is in a face-down position against the floor or another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“Rate”</w:t>
      </w:r>
      <w:r>
        <w:rPr>
          <w:rFonts w:ascii="Times New Roman" w:hAnsi="Times New Roman"/>
          <w:b w:val="false"/>
          <w:i w:val="false"/>
          <w:color w:val="000000"/>
          <w:sz w:val="22"/>
        </w:rPr>
        <w:t> </w:t>
      </w:r>
      <w:r>
        <w:rPr>
          <w:rFonts w:ascii="Times New Roman" w:hAnsi="Times New Roman"/>
          <w:b w:val="false"/>
          <w:i w:val="false"/>
          <w:color w:val="000000"/>
          <w:sz w:val="22"/>
        </w:rPr>
        <w:t>means the daily fee that is charged for all residents equally and that includes the cost of all minimum services required in these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“Records”</w:t>
      </w:r>
      <w:r>
        <w:rPr>
          <w:rFonts w:ascii="Times New Roman" w:hAnsi="Times New Roman"/>
          <w:b w:val="false"/>
          <w:i w:val="false"/>
          <w:color w:val="000000"/>
          <w:sz w:val="22"/>
        </w:rPr>
        <w:t> </w:t>
      </w:r>
      <w:r>
        <w:rPr>
          <w:rFonts w:ascii="Times New Roman" w:hAnsi="Times New Roman"/>
          <w:b w:val="false"/>
          <w:i w:val="false"/>
          <w:color w:val="000000"/>
          <w:sz w:val="22"/>
        </w:rPr>
        <w:t>includes electronic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party”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person who signs or cosigns the residency agreement required in rule </w:t>
      </w:r>
      <w:hyperlink r:id="rId6">
        <w:r>
          <w:rPr>
            <w:rStyle w:val="Hyperlink"/>
            <w:rFonts w:ascii="Times New Roman" w:hAnsi="Times New Roman"/>
            <w:b w:val="false"/>
            <w:i w:val="false"/>
            <w:color w:val="000000"/>
            <w:sz w:val="22"/>
          </w:rPr>
          <w:t>481—57.15</w:t>
        </w:r>
      </w:hyperlink>
      <w:r>
        <w:rPr>
          <w:rFonts w:ascii="Times New Roman" w:hAnsi="Times New Roman"/>
          <w:b w:val="false"/>
          <w:i w:val="false"/>
          <w:color w:val="000000"/>
          <w:sz w:val="22"/>
        </w:rPr>
        <w:t>(135C) or the resident’s legal representative. In the event that a resident has neither a legal representative nor a person who signed or cosigned the resident’s residency agreement, the term “responsible party” shall include the resident’s sponsoring agency, e.g., the department of human services, the U.S. Department of Veterans Affairs, a religious group, fraternal organization, or foundation that assumes responsibility and advocates for its client patients and pays for their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“Restraints”</w:t>
      </w:r>
      <w:r>
        <w:rPr>
          <w:rFonts w:ascii="Times New Roman" w:hAnsi="Times New Roman"/>
          <w:b w:val="false"/>
          <w:i w:val="false"/>
          <w:color w:val="000000"/>
          <w:sz w:val="22"/>
        </w:rPr>
        <w:t> </w:t>
      </w:r>
      <w:r>
        <w:rPr>
          <w:rFonts w:ascii="Times New Roman" w:hAnsi="Times New Roman"/>
          <w:b w:val="false"/>
          <w:i w:val="false"/>
          <w:color w:val="000000"/>
          <w:sz w:val="22"/>
        </w:rPr>
        <w:t>means the measures taken to control a resident’s physical activity for the resident’s own protection or for the protection of others.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3737C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3738C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62.pdf" Type="http://schemas.openxmlformats.org/officeDocument/2006/relationships/hyperlink" Id="rId4"/>
    <Relationship TargetMode="External" Target="https://www.legis.iowa.gov/docs/ico/chapter/135C.1.pdf" Type="http://schemas.openxmlformats.org/officeDocument/2006/relationships/hyperlink" Id="rId5"/>
    <Relationship TargetMode="External" Target="https://www.legis.iowa.gov/docs/iac/rule/481.57.15.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