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481—505.3</w:t>
      </w:r>
      <w:r>
        <w:rPr>
          <w:rFonts w:ascii="Times New Roman" w:hAnsi="Times New Roman"/>
          <w:b/>
          <w:i w:val="false"/>
          <w:color w:val="000000"/>
          <w:sz w:val="22"/>
        </w:rPr>
        <w:t xml:space="preserve">(272C) </w:t>
      </w:r>
      <w:r>
        <w:rPr>
          <w:rFonts w:ascii="Times New Roman" w:hAnsi="Times New Roman"/>
          <w:b/>
          <w:i w:val="false"/>
          <w:color w:val="000000"/>
          <w:sz w:val="22"/>
        </w:rPr>
        <w:t xml:space="preserve">Composition of the committee. </w:t>
      </w:r>
      <w:r>
        <w:rPr>
          <w:rFonts w:ascii="Times New Roman" w:hAnsi="Times New Roman"/>
          <w:b w:val="false"/>
          <w:i w:val="false"/>
          <w:color w:val="000000"/>
          <w:sz w:val="22"/>
        </w:rPr>
        <w:t xml:space="preserve">The division of licensing appoints the members of the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committee may be composed of but not limited to members with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who has expertise in the area of substance use and addiction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who has expertise in the diagnosis and treatment of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psychiatrist who holds a current, active Iowa license as defined in rule </w:t>
      </w:r>
      <w:hyperlink r:id="rId4">
        <w:r>
          <w:rPr>
            <w:rStyle w:val="Hyperlink"/>
            <w:rFonts w:ascii="Times New Roman" w:hAnsi="Times New Roman"/>
            <w:b w:val="false"/>
            <w:i w:val="false"/>
            <w:color w:val="000000"/>
            <w:sz w:val="22"/>
          </w:rPr>
          <w:t>653—9.1</w:t>
        </w:r>
      </w:hyperlink>
      <w:r>
        <w:rPr>
          <w:rFonts w:ascii="Times New Roman" w:hAnsi="Times New Roman"/>
          <w:b w:val="false"/>
          <w:i w:val="false"/>
          <w:color w:val="000000"/>
          <w:sz w:val="22"/>
        </w:rPr>
        <w:t>(147,148,150,150A).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maintained recovery for a period of no less than two years since successfully completing a recovery program, a board-ordered probation for substance use, or a comparable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licensed physician, physician associate or advanced registered nurse licensee whose specialty area is family practice, internal medicine, or emergency medicine or who has expertise in substance use disorders, mental health conditions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psychiatric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public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Non-voting members, which may include the board’s executive director, the bureau chief or designee, the bureau chief of monitoring, and, if requested to join the committee for consultation during a participant review, an executive officer or board member under which a participant is regulated.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At the last meeting of each calendar year, the committee elects co-chairpersons to serve a one-year term beginning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Committee members are appointed for a three-year term, for a maximum of three terms. Each term expires on December 31 of the third year of the term. Initial terms are for a period of one to three years as designated by the division to provide continuity to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3.9.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