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481—475.6</w:t>
      </w:r>
      <w:r>
        <w:rPr>
          <w:rFonts w:ascii="Times New Roman" w:hAnsi="Times New Roman"/>
          <w:b/>
          <w:i w:val="false"/>
          <w:color w:val="000000"/>
          <w:sz w:val="22"/>
        </w:rPr>
        <w:t xml:space="preserve">(88B) </w:t>
      </w:r>
      <w:r>
        <w:rPr>
          <w:rFonts w:ascii="Times New Roman" w:hAnsi="Times New Roman"/>
          <w:b/>
          <w:i w:val="false"/>
          <w:color w:val="000000"/>
          <w:sz w:val="22"/>
        </w:rPr>
        <w:t xml:space="preserve">License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Except as noted in this subrule, the applicant must complete and submit the entire form provided by the department with the necessary attachments. Respirator fit tests and medical examinations must have occurred within the past 12 months. Only worker and contractor/supervisor license applicants must submit the respiratory protection and physician’s or physician associate’s certification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 certificate of appropriate training as established by the U.S. Environmental Protection Agency must accompany all applications. Applicants for a license must be trained by training providers other than themselves. Applicants who completed initial training under a prior set of applicable rules will not be required to take another initial training course if they complete all annual refresher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475.6(3)</w:t>
      </w:r>
      <w:r>
        <w:rPr>
          <w:rFonts w:ascii="Times New Roman" w:hAnsi="Times New Roman"/>
          <w:b w:val="false"/>
          <w:i w:val="false"/>
          <w:color w:val="000000"/>
          <w:sz w:val="22"/>
        </w:rPr>
        <w:t> </w:t>
      </w:r>
      <w:r>
        <w:rPr>
          <w:rFonts w:ascii="Times New Roman" w:hAnsi="Times New Roman"/>
          <w:b w:val="false"/>
          <w:i/>
          <w:color w:val="000000"/>
          <w:sz w:val="22"/>
        </w:rPr>
        <w:t xml:space="preserve">Photograph. </w:t>
      </w:r>
      <w:r>
        <w:rPr>
          <w:rFonts w:ascii="Times New Roman" w:hAnsi="Times New Roman"/>
          <w:b w:val="false"/>
          <w:i w:val="false"/>
          <w:color w:val="000000"/>
          <w:sz w:val="22"/>
        </w:rPr>
        <w:t>A photograph clearly showing the applicant’s face shall accompany all license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475.6(4)</w:t>
      </w:r>
      <w:r>
        <w:rPr>
          <w:rFonts w:ascii="Times New Roman" w:hAnsi="Times New Roman"/>
          <w:b w:val="false"/>
          <w:i w:val="false"/>
          <w:color w:val="000000"/>
          <w:sz w:val="22"/>
        </w:rPr>
        <w:t> </w:t>
      </w:r>
      <w:r>
        <w:rPr>
          <w:rFonts w:ascii="Times New Roman" w:hAnsi="Times New Roman"/>
          <w:b w:val="false"/>
          <w:i/>
          <w:color w:val="000000"/>
          <w:sz w:val="22"/>
        </w:rPr>
        <w:t xml:space="preserve">Worker licenses. </w:t>
      </w:r>
      <w:r>
        <w:rPr>
          <w:rFonts w:ascii="Times New Roman" w:hAnsi="Times New Roman"/>
          <w:b w:val="false"/>
          <w:i w:val="false"/>
          <w:color w:val="000000"/>
          <w:sz w:val="22"/>
        </w:rPr>
        <w:t>All persons seeking a license as an asbestos abatement worker shall complete an initial four-day training course and thereafter complete an annual one-day asbestos abatement worker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475.6(5)</w:t>
      </w: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licenses. </w:t>
      </w:r>
      <w:r>
        <w:rPr>
          <w:rFonts w:ascii="Times New Roman" w:hAnsi="Times New Roman"/>
          <w:b w:val="false"/>
          <w:i w:val="false"/>
          <w:color w:val="000000"/>
          <w:sz w:val="22"/>
        </w:rPr>
        <w:t>All persons seeking a license as an asbestos abatement contractor/supervisor shall complete an initial five-day training course and thereafter complete an annual one-day asbestos abatement contractor/supervisor refresher training course.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475.6(6)</w:t>
      </w:r>
      <w:r>
        <w:rPr>
          <w:rFonts w:ascii="Times New Roman" w:hAnsi="Times New Roman"/>
          <w:b w:val="false"/>
          <w:i w:val="false"/>
          <w:color w:val="000000"/>
          <w:sz w:val="22"/>
        </w:rPr>
        <w:t> </w:t>
      </w:r>
      <w:r>
        <w:rPr>
          <w:rFonts w:ascii="Times New Roman" w:hAnsi="Times New Roman"/>
          <w:b w:val="false"/>
          <w:i/>
          <w:color w:val="000000"/>
          <w:sz w:val="22"/>
        </w:rPr>
        <w:t xml:space="preserve">Inspector licenses. </w:t>
      </w:r>
      <w:r>
        <w:rPr>
          <w:rFonts w:ascii="Times New Roman" w:hAnsi="Times New Roman"/>
          <w:b w:val="false"/>
          <w:i w:val="false"/>
          <w:color w:val="000000"/>
          <w:sz w:val="22"/>
        </w:rPr>
        <w:t>All persons seeking a license as an asbestos inspector shall complete an initial three-day training course and thereafter complete an annual one-half-day asbestos inspector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475.6(7)</w:t>
      </w:r>
      <w:r>
        <w:rPr>
          <w:rFonts w:ascii="Times New Roman" w:hAnsi="Times New Roman"/>
          <w:b w:val="false"/>
          <w:i w:val="false"/>
          <w:color w:val="000000"/>
          <w:sz w:val="22"/>
        </w:rPr>
        <w:t> </w:t>
      </w:r>
      <w:r>
        <w:rPr>
          <w:rFonts w:ascii="Times New Roman" w:hAnsi="Times New Roman"/>
          <w:b w:val="false"/>
          <w:i/>
          <w:color w:val="000000"/>
          <w:sz w:val="22"/>
        </w:rPr>
        <w:t xml:space="preserve">Management planner licenses. </w:t>
      </w:r>
      <w:r>
        <w:rPr>
          <w:rFonts w:ascii="Times New Roman" w:hAnsi="Times New Roman"/>
          <w:b w:val="false"/>
          <w:i w:val="false"/>
          <w:color w:val="000000"/>
          <w:sz w:val="22"/>
        </w:rPr>
        <w:t>All persons seeking a license as an asbestos management planner shall complete an initial three-day inspector training course and an initial two-day management planning training course. Thereafter, an annual one-half-day asbestos inspector refresher training course plus an additional one-half-day course on management planning are required.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475.6(8)</w:t>
      </w:r>
      <w:r>
        <w:rPr>
          <w:rFonts w:ascii="Times New Roman" w:hAnsi="Times New Roman"/>
          <w:b w:val="false"/>
          <w:i w:val="false"/>
          <w:color w:val="000000"/>
          <w:sz w:val="22"/>
        </w:rPr>
        <w:t> </w:t>
      </w:r>
      <w:r>
        <w:rPr>
          <w:rFonts w:ascii="Times New Roman" w:hAnsi="Times New Roman"/>
          <w:b w:val="false"/>
          <w:i/>
          <w:color w:val="000000"/>
          <w:sz w:val="22"/>
        </w:rPr>
        <w:t xml:space="preserve">Abatement project designer licenses. </w:t>
      </w:r>
      <w:r>
        <w:rPr>
          <w:rFonts w:ascii="Times New Roman" w:hAnsi="Times New Roman"/>
          <w:b w:val="false"/>
          <w:i w:val="false"/>
          <w:color w:val="000000"/>
          <w:sz w:val="22"/>
        </w:rPr>
        <w:t>All persons seeking a license as an asbestos abatement project designer shall complete an initial three-day abatement project designer training course. Thereafter, an annual one-day asbestos abatement project designer refresher training course is required.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475.6(9)</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Within 30 days of receiving a completed application, the department will issue a license or deny the application. If a license is issued, it will expire one year from the date the training was completed. An application may be denied for the reasons set forth in rule </w:t>
      </w:r>
      <w:hyperlink r:id="rId4">
        <w:r>
          <w:rPr>
            <w:rStyle w:val="Hyperlink"/>
            <w:rFonts w:ascii="Times New Roman" w:hAnsi="Times New Roman"/>
            <w:b w:val="false"/>
            <w:i w:val="false"/>
            <w:color w:val="000000"/>
            <w:sz w:val="22"/>
          </w:rPr>
          <w:t>481—475.8</w:t>
        </w:r>
      </w:hyperlink>
      <w:r>
        <w:rPr>
          <w:rFonts w:ascii="Times New Roman" w:hAnsi="Times New Roman"/>
          <w:b w:val="false"/>
          <w:i w:val="false"/>
          <w:color w:val="000000"/>
          <w:sz w:val="22"/>
        </w:rPr>
        <w:t>(17A,88B,252J,272D) or if the application package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475.6(10)</w:t>
      </w:r>
      <w:r>
        <w:rPr>
          <w:rFonts w:ascii="Times New Roman" w:hAnsi="Times New Roman"/>
          <w:b w:val="false"/>
          <w:i w:val="false"/>
          <w:color w:val="000000"/>
          <w:sz w:val="22"/>
        </w:rPr>
        <w:t> </w:t>
      </w:r>
      <w:r>
        <w:rPr>
          <w:rFonts w:ascii="Times New Roman" w:hAnsi="Times New Roman"/>
          <w:b w:val="false"/>
          <w:i/>
          <w:color w:val="000000"/>
          <w:sz w:val="22"/>
        </w:rPr>
        <w:t xml:space="preserve">License on job site. </w:t>
      </w:r>
      <w:r>
        <w:rPr>
          <w:rFonts w:ascii="Times New Roman" w:hAnsi="Times New Roman"/>
          <w:b w:val="false"/>
          <w:i w:val="false"/>
          <w:color w:val="000000"/>
          <w:sz w:val="22"/>
        </w:rPr>
        <w:t>While conducting asbestos work that requires a license, the license or a legible copy of the license shall be in the licensee’s possession at the work site. However, if the department’s website reflects that a license has been issued to a particular person, that person may perform work consistent with the type of license issued without the license or a copy of the license for up to 14 days from the issuance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475.6(11)</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work on structures that are both located in an area that is subject to a disaster emergency proclamation pursuant to Iowa Code section </w:t>
      </w:r>
      <w:hyperlink r:id="rId5">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director deems an individual to be licensed and authorized for asbestos abatement if all of the criteria in either paragraph </w:t>
      </w:r>
      <w:hyperlink r:id="rId6">
        <w:r>
          <w:rPr>
            <w:rStyle w:val="Hyperlink"/>
            <w:rFonts w:ascii="Times New Roman" w:hAnsi="Times New Roman"/>
            <w:b w:val="false"/>
            <w:i w:val="false"/>
            <w:color w:val="000000"/>
            <w:sz w:val="22"/>
          </w:rPr>
          <w:t>475.6(11)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contractor, supervisor, or worker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that was provided within the past 12 months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physician’s or physician associate’s statement indicating that a licensed physician or physician associate has examined the individual within the past 12 months and approved the individual to work while wearing a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worker wearing or intending to wear a tight-fitting respirator, documentation of a respirator fit test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working as a project designer, inspector, or management planner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475.8.pdf" Type="http://schemas.openxmlformats.org/officeDocument/2006/relationships/hyperlink" Id="rId4"/>
    <Relationship TargetMode="External" Target="https://www.legis.iowa.gov/docs/ico/chapter/29C.6.pdf" Type="http://schemas.openxmlformats.org/officeDocument/2006/relationships/hyperlink" Id="rId5"/>
    <Relationship TargetMode="External" Target="https://www.legis.iowa.gov/docs/iac/rule/481.475.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