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481—2042.3</w:t>
      </w:r>
      <w:r>
        <w:rPr>
          <w:rFonts w:ascii="Times New Roman" w:hAnsi="Times New Roman"/>
          <w:b/>
          <w:i w:val="false"/>
          <w:color w:val="000000"/>
          <w:sz w:val="22"/>
        </w:rPr>
        <w:t xml:space="preserve">(543D) </w:t>
      </w:r>
      <w:r>
        <w:rPr>
          <w:rFonts w:ascii="Times New Roman" w:hAnsi="Times New Roman"/>
          <w:b/>
          <w:i w:val="false"/>
          <w:color w:val="000000"/>
          <w:sz w:val="22"/>
        </w:rPr>
        <w:t xml:space="preserve">Notice of intent to impose 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issue an order to compel compliance with Iowa Code section </w:t>
      </w:r>
      <w:hyperlink r:id="rId4">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and to impose a civil penalty will be served upon the nonlicensee by certified mail, return receipt requested, or by personal service in accordance with Iowa Rule of Civil Procedure 1.305. Alternatively, the nonlicensee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2042.3(2)</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dollar amount of the proposed civil penalty and the nature of the intended order to compel compliance with Iowa Code section </w:t>
      </w:r>
      <w:hyperlink r:id="rId5">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hearing has to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a written request for hearing has to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21.pdf" Type="http://schemas.openxmlformats.org/officeDocument/2006/relationships/hyperlink" Id="rId4"/>
    <Relationship TargetMode="External" Target="https://www.legis.iowa.gov/docs/ico/chapter/543D.2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