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Standards for provider and program approval. </w:t>
      </w:r>
      <w:r>
        <w:rPr>
          <w:rFonts w:ascii="Times New Roman" w:hAnsi="Times New Roman"/>
          <w:b w:val="false"/>
          <w:i w:val="false"/>
          <w:color w:val="000000"/>
          <w:sz w:val="22"/>
        </w:rPr>
        <w:t>Providers and programs will satisfy the following minimum standards in order to be preapproved in accordance with the procedures established in this chapter and in order to maintain approved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w:t>
      </w:r>
      <w:r>
        <w:rPr>
          <w:rFonts w:ascii="Times New Roman" w:hAnsi="Times New Roman"/>
          <w:b w:val="false"/>
          <w:i w:val="false"/>
          <w:color w:val="000000"/>
          <w:sz w:val="22"/>
        </w:rPr>
        <w:t> </w:t>
      </w:r>
      <w:r>
        <w:rPr>
          <w:rFonts w:ascii="Times New Roman" w:hAnsi="Times New Roman"/>
          <w:b w:val="false"/>
          <w:i w:val="false"/>
          <w:color w:val="000000"/>
          <w:sz w:val="22"/>
        </w:rPr>
        <w:t>The program will be taught or developed by individuals who have the education, training and experience to be considered experts in the subject matter of the program and competent in the use of teaching methods appropriate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w:t>
      </w:r>
      <w:r>
        <w:rPr>
          <w:rFonts w:ascii="Times New Roman" w:hAnsi="Times New Roman"/>
          <w:b w:val="false"/>
          <w:i w:val="false"/>
          <w:color w:val="000000"/>
          <w:sz w:val="22"/>
        </w:rPr>
        <w:t> </w:t>
      </w:r>
      <w:r>
        <w:rPr>
          <w:rFonts w:ascii="Times New Roman" w:hAnsi="Times New Roman"/>
          <w:b w:val="false"/>
          <w:i w:val="false"/>
          <w:color w:val="000000"/>
          <w:sz w:val="22"/>
        </w:rPr>
        <w:t>Programs will be taught by instructors who have successfully completed an instructor development workshop within 24 months preceding board approval of the program. Certified USPAP instructors and instructors approved via a course delivery mechanism approval per the AQB criteria will be considered to have met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an instructor is qualified to teach a particular program, the board will consider whether the instructor has an ability to teach and an in-depth knowledge of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2040.4(4)</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the ability to teach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in education from an accredited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current teaching credential or certificate in any real estate or real estate-related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certificate of completion in the area of instruction from an instructor institute, workshop or school that is sponsored by a member of the Appraisal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full-time current appointment to the faculty of an accredited college;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2040.4(5)</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in-depth knowledge of the program’s subject matter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with a major in a field of study directly related to the subject matter of the course the instructor proposes to teach, such as business, economics, accounting, real estate or finance;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and have five years of appraisal experience related to the subject matter of the course the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generally recognized professional real property appraisal designation or be a sponsor member of the Appraisal Foundation;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2040.4(6)</w:t>
      </w:r>
      <w:r>
        <w:rPr>
          <w:rFonts w:ascii="Times New Roman" w:hAnsi="Times New Roman"/>
          <w:b w:val="false"/>
          <w:i w:val="false"/>
          <w:color w:val="000000"/>
          <w:sz w:val="22"/>
        </w:rPr>
        <w:t> </w:t>
      </w:r>
      <w:r>
        <w:rPr>
          <w:rFonts w:ascii="Times New Roman" w:hAnsi="Times New Roman"/>
          <w:b w:val="false"/>
          <w:i w:val="false"/>
          <w:color w:val="000000"/>
          <w:sz w:val="22"/>
        </w:rPr>
        <w:t>Only AQB-certified USPAP instructors, listed on the website of the Appraisal Foundation may teach the National USPAP courses, or the AQB-approved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2040.4(7)</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will be accurate, consistent with currently accepted standards relating to the program’s subject matter and updated no later than 30 days after the effective date of a change in standards, laws,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2040.4(8)</w:t>
      </w:r>
      <w:r>
        <w:rPr>
          <w:rFonts w:ascii="Times New Roman" w:hAnsi="Times New Roman"/>
          <w:b w:val="false"/>
          <w:i w:val="false"/>
          <w:color w:val="000000"/>
          <w:sz w:val="22"/>
        </w:rPr>
        <w:t> </w:t>
      </w:r>
      <w:r>
        <w:rPr>
          <w:rFonts w:ascii="Times New Roman" w:hAnsi="Times New Roman"/>
          <w:b w:val="false"/>
          <w:i w:val="false"/>
          <w:color w:val="000000"/>
          <w:sz w:val="22"/>
        </w:rPr>
        <w:t>Programs will have an appropriate means of written evaluation by participants. Evaluations will include the relevance of the materials, effectiveness of presentation, content, facilities, and such additional features as are appropriate to the nature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2040.4(9)</w:t>
      </w:r>
      <w:r>
        <w:rPr>
          <w:rFonts w:ascii="Times New Roman" w:hAnsi="Times New Roman"/>
          <w:b w:val="false"/>
          <w:i w:val="false"/>
          <w:color w:val="000000"/>
          <w:sz w:val="22"/>
        </w:rPr>
        <w:t> </w:t>
      </w:r>
      <w:r>
        <w:rPr>
          <w:rFonts w:ascii="Times New Roman" w:hAnsi="Times New Roman"/>
          <w:b w:val="false"/>
          <w:i w:val="false"/>
          <w:color w:val="000000"/>
          <w:sz w:val="22"/>
        </w:rPr>
        <w:t>No part of any course will be used to solicit memberships in organizations, recruit appraisers for affiliation with any organization or advertise the merits of any organization or sell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2040.4(10)</w:t>
      </w:r>
      <w:r>
        <w:rPr>
          <w:rFonts w:ascii="Times New Roman" w:hAnsi="Times New Roman"/>
          <w:b w:val="false"/>
          <w:i w:val="false"/>
          <w:color w:val="000000"/>
          <w:sz w:val="22"/>
        </w:rPr>
        <w:t> </w:t>
      </w:r>
      <w:r>
        <w:rPr>
          <w:rFonts w:ascii="Times New Roman" w:hAnsi="Times New Roman"/>
          <w:b w:val="false"/>
          <w:i w:val="false"/>
          <w:color w:val="000000"/>
          <w:sz w:val="22"/>
        </w:rPr>
        <w:t>Providers will clearly inform prospective participants of the number of credit hours preapproved by the board for each program and all applicable policies concerning registration, payment, refunds, attendance obligations, and examination 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2040.4(11)</w:t>
      </w:r>
      <w:r>
        <w:rPr>
          <w:rFonts w:ascii="Times New Roman" w:hAnsi="Times New Roman"/>
          <w:b w:val="false"/>
          <w:i w:val="false"/>
          <w:color w:val="000000"/>
          <w:sz w:val="22"/>
        </w:rPr>
        <w:t> </w:t>
      </w:r>
      <w:r>
        <w:rPr>
          <w:rFonts w:ascii="Times New Roman" w:hAnsi="Times New Roman"/>
          <w:b w:val="false"/>
          <w:i w:val="false"/>
          <w:color w:val="000000"/>
          <w:sz w:val="22"/>
        </w:rPr>
        <w:t>Procedures will be in place to monitor whether the person receiving credit hours is the person who attended or completed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2040.4(12)</w:t>
      </w:r>
      <w:r>
        <w:rPr>
          <w:rFonts w:ascii="Times New Roman" w:hAnsi="Times New Roman"/>
          <w:b w:val="false"/>
          <w:i w:val="false"/>
          <w:color w:val="000000"/>
          <w:sz w:val="22"/>
        </w:rPr>
        <w:t> </w:t>
      </w:r>
      <w:r>
        <w:rPr>
          <w:rFonts w:ascii="Times New Roman" w:hAnsi="Times New Roman"/>
          <w:b w:val="false"/>
          <w:i w:val="false"/>
          <w:color w:val="000000"/>
          <w:sz w:val="22"/>
        </w:rPr>
        <w:t>Providers will be accessible to students during normal business hours to answer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will comply with or demonstrate exemption from the provisions of Iowa Code sections </w:t>
      </w:r>
      <w:hyperlink r:id="rId4">
        <w:r>
          <w:rPr>
            <w:rStyle w:val="Hyperlink"/>
            <w:rFonts w:ascii="Times New Roman" w:hAnsi="Times New Roman"/>
            <w:b w:val="false"/>
            <w:i w:val="false"/>
            <w:color w:val="000000"/>
            <w:sz w:val="22"/>
          </w:rPr>
          <w:t>714.14 to 714.25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2040.4(14)</w:t>
      </w:r>
      <w:r>
        <w:rPr>
          <w:rFonts w:ascii="Times New Roman" w:hAnsi="Times New Roman"/>
          <w:b w:val="false"/>
          <w:i w:val="false"/>
          <w:color w:val="000000"/>
          <w:sz w:val="22"/>
        </w:rPr>
        <w:t> </w:t>
      </w:r>
      <w:r>
        <w:rPr>
          <w:rFonts w:ascii="Times New Roman" w:hAnsi="Times New Roman"/>
          <w:b w:val="false"/>
          <w:i w:val="false"/>
          <w:color w:val="000000"/>
          <w:sz w:val="22"/>
        </w:rPr>
        <w:t>Providers will designate a coordinator in charge of each program who will act as the board’s contact on all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2040.4(15)</w:t>
      </w:r>
      <w:r>
        <w:rPr>
          <w:rFonts w:ascii="Times New Roman" w:hAnsi="Times New Roman"/>
          <w:b w:val="false"/>
          <w:i w:val="false"/>
          <w:color w:val="000000"/>
          <w:sz w:val="22"/>
        </w:rPr>
        <w:t> </w:t>
      </w:r>
      <w:r>
        <w:rPr>
          <w:rFonts w:ascii="Times New Roman" w:hAnsi="Times New Roman"/>
          <w:b w:val="false"/>
          <w:i w:val="false"/>
          <w:color w:val="000000"/>
          <w:sz w:val="22"/>
        </w:rPr>
        <w:t>Programs will not offer more than eight credit hours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2040.4(16)</w:t>
      </w:r>
      <w:r>
        <w:rPr>
          <w:rFonts w:ascii="Times New Roman" w:hAnsi="Times New Roman"/>
          <w:b w:val="false"/>
          <w:i w:val="false"/>
          <w:color w:val="000000"/>
          <w:sz w:val="22"/>
        </w:rPr>
        <w:t> </w:t>
      </w:r>
      <w:r>
        <w:rPr>
          <w:rFonts w:ascii="Times New Roman" w:hAnsi="Times New Roman"/>
          <w:b w:val="false"/>
          <w:i w:val="false"/>
          <w:color w:val="000000"/>
          <w:sz w:val="22"/>
        </w:rPr>
        <w:t>Providers will not provide any information to the board, the public, or prospective students that is misleading in nature. For example, providers will not refer to themselves as a “college” or “university” unless qualified as such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2040.4(17)</w:t>
      </w:r>
      <w:r>
        <w:rPr>
          <w:rFonts w:ascii="Times New Roman" w:hAnsi="Times New Roman"/>
          <w:b w:val="false"/>
          <w:i w:val="false"/>
          <w:color w:val="000000"/>
          <w:sz w:val="22"/>
        </w:rPr>
        <w:t> </w:t>
      </w:r>
      <w:r>
        <w:rPr>
          <w:rFonts w:ascii="Times New Roman" w:hAnsi="Times New Roman"/>
          <w:b w:val="false"/>
          <w:i w:val="false"/>
          <w:color w:val="000000"/>
          <w:sz w:val="22"/>
        </w:rPr>
        <w:t>Providers will establish and maintain for a period of five years complete and detailed records on the programs successfully attended by each Iowa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2040.4(18)</w:t>
      </w:r>
      <w:r>
        <w:rPr>
          <w:rFonts w:ascii="Times New Roman" w:hAnsi="Times New Roman"/>
          <w:b w:val="false"/>
          <w:i w:val="false"/>
          <w:color w:val="000000"/>
          <w:sz w:val="22"/>
        </w:rPr>
        <w:t> </w:t>
      </w:r>
      <w:r>
        <w:rPr>
          <w:rFonts w:ascii="Times New Roman" w:hAnsi="Times New Roman"/>
          <w:b w:val="false"/>
          <w:i w:val="false"/>
          <w:color w:val="000000"/>
          <w:sz w:val="22"/>
        </w:rPr>
        <w:t>Providers will issue an individual certificate of attendance to each participant upon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2040.4(19)</w:t>
      </w:r>
      <w:r>
        <w:rPr>
          <w:rFonts w:ascii="Times New Roman" w:hAnsi="Times New Roman"/>
          <w:b w:val="false"/>
          <w:i w:val="false"/>
          <w:color w:val="000000"/>
          <w:sz w:val="22"/>
        </w:rPr>
        <w:t> </w:t>
      </w:r>
      <w:r>
        <w:rPr>
          <w:rFonts w:ascii="Times New Roman" w:hAnsi="Times New Roman"/>
          <w:b w:val="false"/>
          <w:i w:val="false"/>
          <w:color w:val="000000"/>
          <w:sz w:val="22"/>
        </w:rPr>
        <w:t>Program providers and instructors are solely responsible for the accuracy of all program materials, instruction, and examinations. Board approval of a provider or program is not an assurance or warranty of accuracy and will not be explicitly or implicitly marketed or advertised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2040.4(20)</w:t>
      </w:r>
      <w:r>
        <w:rPr>
          <w:rFonts w:ascii="Times New Roman" w:hAnsi="Times New Roman"/>
          <w:b w:val="false"/>
          <w:i w:val="false"/>
          <w:color w:val="000000"/>
          <w:sz w:val="22"/>
        </w:rPr>
        <w:t> </w:t>
      </w:r>
      <w:r>
        <w:rPr>
          <w:rFonts w:ascii="Times New Roman" w:hAnsi="Times New Roman"/>
          <w:b w:val="false"/>
          <w:i w:val="false"/>
          <w:color w:val="000000"/>
          <w:sz w:val="22"/>
        </w:rPr>
        <w:t>Providers will apply for approval using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2040.4(21)</w:t>
      </w:r>
      <w:r>
        <w:rPr>
          <w:rFonts w:ascii="Times New Roman" w:hAnsi="Times New Roman"/>
          <w:b w:val="false"/>
          <w:i w:val="false"/>
          <w:color w:val="000000"/>
          <w:sz w:val="22"/>
        </w:rPr>
        <w:t> </w:t>
      </w:r>
      <w:r>
        <w:rPr>
          <w:rFonts w:ascii="Times New Roman" w:hAnsi="Times New Roman"/>
          <w:b w:val="false"/>
          <w:i w:val="false"/>
          <w:color w:val="000000"/>
          <w:sz w:val="22"/>
        </w:rPr>
        <w:t>Providers will notify the board within 30 days of a change in the provider’s primary contact, name, business address, or any other change that may affect the provider’s tax identification number or bond obligations with the Iowa college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14.14-2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