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481—2040.3</w:t>
      </w:r>
      <w:r>
        <w:rPr>
          <w:rFonts w:ascii="Times New Roman" w:hAnsi="Times New Roman"/>
          <w:b/>
          <w:i w:val="false"/>
          <w:color w:val="000000"/>
          <w:sz w:val="22"/>
        </w:rPr>
        <w:t xml:space="preserve">(272C,543D) </w:t>
      </w:r>
      <w:r>
        <w:rPr>
          <w:rFonts w:ascii="Times New Roman" w:hAnsi="Times New Roman"/>
          <w:b/>
          <w:i w:val="false"/>
          <w:color w:val="000000"/>
          <w:sz w:val="22"/>
        </w:rPr>
        <w:t xml:space="preserve">Minimum program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2040.3(1)</w:t>
      </w:r>
      <w:r>
        <w:rPr>
          <w:rFonts w:ascii="Times New Roman" w:hAnsi="Times New Roman"/>
          <w:b w:val="false"/>
          <w:i w:val="false"/>
          <w:color w:val="000000"/>
          <w:sz w:val="22"/>
        </w:rPr>
        <w:t> </w:t>
      </w:r>
      <w:r>
        <w:rPr>
          <w:rFonts w:ascii="Times New Roman" w:hAnsi="Times New Roman"/>
          <w:b w:val="false"/>
          <w:i w:val="false"/>
          <w:color w:val="000000"/>
          <w:sz w:val="22"/>
        </w:rPr>
        <w:t>The board will only approve continuing education programs that provide a formal program of learning that contributes to the growth in the professional knowledge and professional competence of real estate appraisers.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2040.3(2)</w:t>
      </w:r>
      <w:r>
        <w:rPr>
          <w:rFonts w:ascii="Times New Roman" w:hAnsi="Times New Roman"/>
          <w:b w:val="false"/>
          <w:i w:val="false"/>
          <w:color w:val="000000"/>
          <w:sz w:val="22"/>
        </w:rPr>
        <w:t> </w:t>
      </w:r>
      <w:r>
        <w:rPr>
          <w:rFonts w:ascii="Times New Roman" w:hAnsi="Times New Roman"/>
          <w:b w:val="false"/>
          <w:i w:val="false"/>
          <w:color w:val="000000"/>
          <w:sz w:val="22"/>
        </w:rPr>
        <w:t>Continuing education programs as listed in the AQB criteria are accepted by the board, as well as the following appraisal topics, which the board has determined are integrally related to appraisal topics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Agriculture production and economics;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Agronomy/soil;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Real estate appraisal technology (e.g., drones).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2040.3(3)</w:t>
      </w:r>
      <w:r>
        <w:rPr>
          <w:rFonts w:ascii="Times New Roman" w:hAnsi="Times New Roman"/>
          <w:b w:val="false"/>
          <w:i w:val="false"/>
          <w:color w:val="000000"/>
          <w:sz w:val="22"/>
        </w:rPr>
        <w:t> </w:t>
      </w:r>
      <w:r>
        <w:rPr>
          <w:rFonts w:ascii="Times New Roman" w:hAnsi="Times New Roman"/>
          <w:b w:val="false"/>
          <w:i w:val="false"/>
          <w:color w:val="000000"/>
          <w:sz w:val="22"/>
        </w:rPr>
        <w:t>The following programs will not be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Sales promotion meetings held in conjunction with the appraiser’s general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Time devoted to breakfast, lunch, or dinner;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program certified by the use of a challenge examination. The number of hours will be completed to receive credit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Programs that do not provide at least two credit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2040.3(4)</w:t>
      </w:r>
      <w:r>
        <w:rPr>
          <w:rFonts w:ascii="Times New Roman" w:hAnsi="Times New Roman"/>
          <w:b w:val="false"/>
          <w:i w:val="false"/>
          <w:color w:val="000000"/>
          <w:sz w:val="22"/>
        </w:rPr>
        <w:t> </w:t>
      </w:r>
      <w:r>
        <w:rPr>
          <w:rFonts w:ascii="Times New Roman" w:hAnsi="Times New Roman"/>
          <w:b w:val="false"/>
          <w:i w:val="false"/>
          <w:color w:val="000000"/>
          <w:sz w:val="22"/>
        </w:rPr>
        <w:t>Continuing education credit will be granted only for whole hours, with a minimum of 50 minutes constituting one hour.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2040.3(5)</w:t>
      </w:r>
      <w:r>
        <w:rPr>
          <w:rFonts w:ascii="Times New Roman" w:hAnsi="Times New Roman"/>
          <w:b w:val="false"/>
          <w:i w:val="false"/>
          <w:color w:val="000000"/>
          <w:sz w:val="22"/>
        </w:rPr>
        <w:t> </w:t>
      </w:r>
      <w:r>
        <w:rPr>
          <w:rFonts w:ascii="Times New Roman" w:hAnsi="Times New Roman"/>
          <w:b w:val="false"/>
          <w:i w:val="false"/>
          <w:color w:val="000000"/>
          <w:sz w:val="22"/>
        </w:rPr>
        <w:t>Continuing education credit may be approved for university or college courses, when an official transcript is provided, in qualifying topics according to the following formula: Each semester hour of credit will equal 15 credit hours and each quarter hour of credit will equal 10 credit hours.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