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481—2040.2</w:t>
      </w:r>
      <w:r>
        <w:rPr>
          <w:rFonts w:ascii="Times New Roman" w:hAnsi="Times New Roman"/>
          <w:b/>
          <w:i w:val="false"/>
          <w:color w:val="000000"/>
          <w:sz w:val="22"/>
        </w:rPr>
        <w:t xml:space="preserve">(272C,543D) </w:t>
      </w:r>
      <w:r>
        <w:rPr>
          <w:rFonts w:ascii="Times New Roman" w:hAnsi="Times New Roman"/>
          <w:b/>
          <w:i w:val="false"/>
          <w:color w:val="000000"/>
          <w:sz w:val="22"/>
        </w:rPr>
        <w:t xml:space="preserve">Continuing education obligations.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2040.2(1)</w:t>
      </w:r>
      <w:r>
        <w:rPr>
          <w:rFonts w:ascii="Times New Roman" w:hAnsi="Times New Roman"/>
          <w:b w:val="false"/>
          <w:i w:val="false"/>
          <w:color w:val="000000"/>
          <w:sz w:val="22"/>
        </w:rPr>
        <w:t> </w:t>
      </w:r>
      <w:r>
        <w:rPr>
          <w:rFonts w:ascii="Times New Roman" w:hAnsi="Times New Roman"/>
          <w:b w:val="false"/>
          <w:i w:val="false"/>
          <w:color w:val="000000"/>
          <w:sz w:val="22"/>
        </w:rPr>
        <w:t>Board-licensed appraisers have to demonstrate compliance with the continuing education set by the AQB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2040.2(2)</w:t>
      </w:r>
      <w:r>
        <w:rPr>
          <w:rFonts w:ascii="Times New Roman" w:hAnsi="Times New Roman"/>
          <w:b w:val="false"/>
          <w:i w:val="false"/>
          <w:color w:val="000000"/>
          <w:sz w:val="22"/>
        </w:rPr>
        <w:t> </w:t>
      </w:r>
      <w:r>
        <w:rPr>
          <w:rFonts w:ascii="Times New Roman" w:hAnsi="Times New Roman"/>
          <w:b w:val="false"/>
          <w:i w:val="false"/>
          <w:color w:val="000000"/>
          <w:sz w:val="22"/>
        </w:rPr>
        <w:t>All continuing education credit hours may be acquired in approved education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2040.2(3)</w:t>
      </w:r>
      <w:r>
        <w:rPr>
          <w:rFonts w:ascii="Times New Roman" w:hAnsi="Times New Roman"/>
          <w:b w:val="false"/>
          <w:i w:val="false"/>
          <w:color w:val="000000"/>
          <w:sz w:val="22"/>
        </w:rPr>
        <w:t> </w:t>
      </w:r>
      <w:r>
        <w:rPr>
          <w:rFonts w:ascii="Times New Roman" w:hAnsi="Times New Roman"/>
          <w:b w:val="false"/>
          <w:i w:val="false"/>
          <w:color w:val="000000"/>
          <w:sz w:val="22"/>
        </w:rPr>
        <w:t>Instructors claiming continuing education credit may be requested to provide supporting documentation to ascertain course content and related details.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2040.2(4)</w:t>
      </w:r>
      <w:r>
        <w:rPr>
          <w:rFonts w:ascii="Times New Roman" w:hAnsi="Times New Roman"/>
          <w:b w:val="false"/>
          <w:i w:val="false"/>
          <w:color w:val="000000"/>
          <w:sz w:val="22"/>
        </w:rPr>
        <w:t> </w:t>
      </w:r>
      <w:r>
        <w:rPr>
          <w:rFonts w:ascii="Times New Roman" w:hAnsi="Times New Roman"/>
          <w:b w:val="false"/>
          <w:i w:val="false"/>
          <w:color w:val="000000"/>
          <w:sz w:val="22"/>
        </w:rPr>
        <w:t>An applicant seeking to renew an initial license issued less than 185 days prior to renewal is not obligated to report any continuing education. An applicant seeking to renew an initial certificate or registration issued for 185 days to 365 days prior to renewal has to demonstrate completion of at least 14 credit hours, including the National USPAP continuing education course or its AQB equivalent. An applicant seeking to renew an initial certificate or registration issued 365 days prior to renewal or more has to demonstrate completion of at least 28 credit hours, including seven credit hours of the most recent National USPAP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2040.2(5)</w:t>
      </w:r>
      <w:r>
        <w:rPr>
          <w:rFonts w:ascii="Times New Roman" w:hAnsi="Times New Roman"/>
          <w:b w:val="false"/>
          <w:i w:val="false"/>
          <w:color w:val="000000"/>
          <w:sz w:val="22"/>
        </w:rPr>
        <w:t> </w:t>
      </w:r>
      <w:r>
        <w:rPr>
          <w:rFonts w:ascii="Times New Roman" w:hAnsi="Times New Roman"/>
          <w:b w:val="false"/>
          <w:i w:val="false"/>
          <w:color w:val="000000"/>
          <w:sz w:val="22"/>
        </w:rPr>
        <w:t>Prior to reinstatement or reactivation of a certified general or residential registration, a licensee in inactive, retired, or lapsed status has to complete all continuing education hours that would have been needed if the licensee was in active status. The hours will also include the most recent edition of a National USPAP Update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2040.2(6)</w:t>
      </w:r>
      <w:r>
        <w:rPr>
          <w:rFonts w:ascii="Times New Roman" w:hAnsi="Times New Roman"/>
          <w:b w:val="false"/>
          <w:i w:val="false"/>
          <w:color w:val="000000"/>
          <w:sz w:val="22"/>
        </w:rPr>
        <w:t> </w:t>
      </w:r>
      <w:r>
        <w:rPr>
          <w:rFonts w:ascii="Times New Roman" w:hAnsi="Times New Roman"/>
          <w:b w:val="false"/>
          <w:i w:val="false"/>
          <w:color w:val="000000"/>
          <w:sz w:val="22"/>
        </w:rPr>
        <w:t>During each two-year renewal period, a continuing education program may be taken for credit only once.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2040.2(7)</w:t>
      </w:r>
      <w:r>
        <w:rPr>
          <w:rFonts w:ascii="Times New Roman" w:hAnsi="Times New Roman"/>
          <w:b w:val="false"/>
          <w:i w:val="false"/>
          <w:color w:val="000000"/>
          <w:sz w:val="22"/>
        </w:rPr>
        <w:t> </w:t>
      </w:r>
      <w:r>
        <w:rPr>
          <w:rFonts w:ascii="Times New Roman" w:hAnsi="Times New Roman"/>
          <w:b w:val="false"/>
          <w:i w:val="false"/>
          <w:color w:val="000000"/>
          <w:sz w:val="22"/>
        </w:rPr>
        <w:t>At least 50 minutes of every class hour have to be attended by the student to count as an hour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2040.2(8)</w:t>
      </w:r>
      <w:r>
        <w:rPr>
          <w:rFonts w:ascii="Times New Roman" w:hAnsi="Times New Roman"/>
          <w:b w:val="false"/>
          <w:i w:val="false"/>
          <w:color w:val="000000"/>
          <w:sz w:val="22"/>
        </w:rPr>
        <w:t> </w:t>
      </w:r>
      <w:r>
        <w:rPr>
          <w:rFonts w:ascii="Times New Roman" w:hAnsi="Times New Roman"/>
          <w:b w:val="false"/>
          <w:i w:val="false"/>
          <w:color w:val="000000"/>
          <w:sz w:val="22"/>
        </w:rPr>
        <w:t>An applicant may claim continuing education credits that have been approved by another jurisdiction that has a continuing education obligation for license renewal in that jurisdiction if the applicable program was approved by the other jurisdiction’s appraisal regulatory body or the AQB for continuing education purposes at the time the applicant completed the course. The burden of proof in this regard is on the applicant. All other programs have to be approved upon application to the board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2040.2(9)</w:t>
      </w:r>
      <w:r>
        <w:rPr>
          <w:rFonts w:ascii="Times New Roman" w:hAnsi="Times New Roman"/>
          <w:b w:val="false"/>
          <w:i w:val="false"/>
          <w:color w:val="000000"/>
          <w:sz w:val="22"/>
        </w:rPr>
        <w:t> </w:t>
      </w:r>
      <w:r>
        <w:rPr>
          <w:rFonts w:ascii="Times New Roman" w:hAnsi="Times New Roman"/>
          <w:b w:val="false"/>
          <w:i w:val="false"/>
          <w:color w:val="000000"/>
          <w:sz w:val="22"/>
        </w:rPr>
        <w:t>A person certified or registered to practice real estate appraising in Iowa will be deemed to have complied with Iowa’s continuing education obligation for periods in which the person is a resident of another state or district having continuing education obligations for real estate appraising and meets all obligations of that state or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2040.2(10)</w:t>
      </w:r>
      <w:r>
        <w:rPr>
          <w:rFonts w:ascii="Times New Roman" w:hAnsi="Times New Roman"/>
          <w:b w:val="false"/>
          <w:i w:val="false"/>
          <w:color w:val="000000"/>
          <w:sz w:val="22"/>
        </w:rPr>
        <w:t> </w:t>
      </w:r>
      <w:r>
        <w:rPr>
          <w:rFonts w:ascii="Times New Roman" w:hAnsi="Times New Roman"/>
          <w:b w:val="false"/>
          <w:i w:val="false"/>
          <w:color w:val="000000"/>
          <w:sz w:val="22"/>
        </w:rPr>
        <w:t>A person certified or registered to practice real estate appraising in Iowa who completes an education course approved by both the board and another appraiser regulatory body, for which the approved hours vary, will only be allowed to claim the hours approved by the board to meet the obligations of renewal of the person’s associate registration or certified credential in Iowa. A person certified or registered to practice real estate appraising in Iowa who completes an educational course not approved in Iowa, but approved by either the AQB or by another appraiser regulatory body, may claim the hours awarded by either the AQB or the appraiser regulatory body of the other jurisdiction.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