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481—2040.12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Hearings.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person aggrieved by board action related to this chapter may request a contested case hearing before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