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481—2040.11</w:t>
      </w:r>
      <w:r>
        <w:rPr>
          <w:rFonts w:ascii="Times New Roman" w:hAnsi="Times New Roman"/>
          <w:b/>
          <w:i w:val="false"/>
          <w:color w:val="000000"/>
          <w:sz w:val="22"/>
        </w:rPr>
        <w:t xml:space="preserve">(272C,543D) </w:t>
      </w:r>
      <w:r>
        <w:rPr>
          <w:rFonts w:ascii="Times New Roman" w:hAnsi="Times New Roman"/>
          <w:b/>
          <w:i w:val="false"/>
          <w:color w:val="000000"/>
          <w:sz w:val="22"/>
        </w:rPr>
        <w:t xml:space="preserve">Review of provider or program. </w:t>
      </w:r>
      <w:r>
        <w:rPr>
          <w:rFonts w:ascii="Times New Roman" w:hAnsi="Times New Roman"/>
          <w:b w:val="false"/>
          <w:i w:val="false"/>
          <w:color w:val="000000"/>
          <w:sz w:val="22"/>
        </w:rPr>
        <w:t>The board on its own motion or upon receipt of a complaint or negative evaluation may monitor or review any approved program or provider and may withdraw approval of the provider or program and disallow all or any part of the approved hours granted to the provider based on evidence that the obligations of this chapter have not been met. The provider, as a condition of approval, agrees to allow the board or its authorized representatives to monitor ongoing compliance with board rules through means including, but not limited to, unannounced attendance at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