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481—2038.7</w:t>
      </w:r>
      <w:r>
        <w:rPr>
          <w:rFonts w:ascii="Times New Roman" w:hAnsi="Times New Roman"/>
          <w:b/>
          <w:i w:val="false"/>
          <w:color w:val="000000"/>
          <w:sz w:val="22"/>
        </w:rPr>
        <w:t xml:space="preserve">(272C,543D) </w:t>
      </w:r>
      <w:r>
        <w:rPr>
          <w:rFonts w:ascii="Times New Roman" w:hAnsi="Times New Roman"/>
          <w:b/>
          <w:i w:val="false"/>
          <w:color w:val="000000"/>
          <w:sz w:val="22"/>
        </w:rPr>
        <w:t xml:space="preserve">Property of the board. </w:t>
      </w:r>
      <w:r>
        <w:rPr>
          <w:rFonts w:ascii="Times New Roman" w:hAnsi="Times New Roman"/>
          <w:b w:val="false"/>
          <w:i w:val="false"/>
          <w:color w:val="000000"/>
          <w:sz w:val="22"/>
        </w:rPr>
        <w:t>Every license issued by the board will, while it remains in the possession of the holder, be preserved by the holder but will, nevertheless, always remain the property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