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481—2038.6</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Retired status. </w:t>
      </w:r>
      <w:r>
        <w:rPr>
          <w:rFonts w:ascii="Times New Roman" w:hAnsi="Times New Roman"/>
          <w:b w:val="false"/>
          <w:i w:val="false"/>
          <w:color w:val="000000"/>
          <w:sz w:val="22"/>
        </w:rPr>
        <w:t>A certified licensee may place the licensee’s license in retired status. For purposes of this rule, the term “retired” means the person has retired from working as a certified appraiser and has requested to be placed in retired status through the board’s online system. A licensee in retired status may request that the license be placed back into active status so long as the licensee is still within the biennial period of the last active status. The board will not provide a refund of biennial registration and certification fees when an application for retired status is granted in a biennium in which the applicant has previously paid the biennial fees for either active or inactive status. Licensees in retired status are exempt from the renewal obligation. While in retired status, appraisers cannot hold themselves out to the public as being certified appraisers during the period of time that the license is in retired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