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481—2038.5</w:t>
      </w:r>
      <w:r>
        <w:rPr>
          <w:rFonts w:ascii="Times New Roman" w:hAnsi="Times New Roman"/>
          <w:b/>
          <w:i w:val="false"/>
          <w:color w:val="000000"/>
          <w:sz w:val="22"/>
        </w:rPr>
        <w:t xml:space="preserve">(272C,543D) </w:t>
      </w:r>
      <w:r>
        <w:rPr>
          <w:rFonts w:ascii="Times New Roman" w:hAnsi="Times New Roman"/>
          <w:b/>
          <w:i w:val="false"/>
          <w:color w:val="000000"/>
          <w:sz w:val="22"/>
        </w:rPr>
        <w:t xml:space="preserve">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2038.5(1)</w:t>
      </w:r>
      <w:r>
        <w:rPr>
          <w:rFonts w:ascii="Times New Roman" w:hAnsi="Times New Roman"/>
          <w:b w:val="false"/>
          <w:i w:val="false"/>
          <w:color w:val="000000"/>
          <w:sz w:val="22"/>
        </w:rPr>
        <w:t> </w:t>
      </w:r>
      <w:r>
        <w:rPr>
          <w:rFonts w:ascii="Times New Roman" w:hAnsi="Times New Roman"/>
          <w:b w:val="false"/>
          <w:i/>
          <w:color w:val="000000"/>
          <w:sz w:val="22"/>
        </w:rPr>
        <w:t xml:space="preserve">General purpose. </w:t>
      </w:r>
      <w:r>
        <w:rPr>
          <w:rFonts w:ascii="Times New Roman" w:hAnsi="Times New Roman"/>
          <w:b w:val="false"/>
          <w:i w:val="false"/>
          <w:color w:val="000000"/>
          <w:sz w:val="22"/>
        </w:rPr>
        <w:t>A licensee who is not engaged in Iowa in any practice licensed by the board may allow a license to lapse or register as inactive. The board will continue to maintain a database of persons registered as inactive as well as those whose license has lapsed. A person registered in inactive status is not allowed to perform services in this state regulated by the board. Continuing education is not required for licensees in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holding an active license may apply on forms through the board’s online system to register as inactive if the person is not engaged in appraisal practice in the state of Iowa for which a certificate or associate registration is needed. Inactive status is not available to an individual who has had a board-issued license revoked or suspended. A person seeking inactive status may be actively engaged in the practice of real estate appraising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2038.5(3)</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application form will contain a statement in which the applicant affirms that the applicant will not engage in any conduct that would require an Iowa license without first complying with all rules governing reactivation to active status. A person in inactive status may reactivate to active status at any time pursuant to subrule </w:t>
      </w:r>
      <w:hyperlink r:id="rId4">
        <w:r>
          <w:rPr>
            <w:rStyle w:val="Hyperlink"/>
            <w:rFonts w:ascii="Times New Roman" w:hAnsi="Times New Roman"/>
            <w:b w:val="false"/>
            <w:i w:val="false"/>
            <w:color w:val="000000"/>
            <w:sz w:val="22"/>
          </w:rPr>
          <w:t>2038.5(6)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2038.5(4)</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 person registered as inactive will need to renew biennially. Licensees in inactive status may continue to renew in inactive status. Active licensees may register in inactive status if, for instance, they have not completed all continuing education obligations needed for active status renewal. Any licensee in inactive status must satisfy all outstanding continuing education obligations before reinstating to active status. Continuing education obligations do not accrue during the period of inactive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2038.5(5)</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Licensees are not authorized to practice or to hold themselves out to the public as board-licensed appraisers during the period of time that the licensee is in retired or inactive status. Any violation of this subrule will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2038.5(6)</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A person registered as inactive will apply to reactivate to active status prior to engaging in any practice in Iowa that necessitates active licensure by the board. An application to reactivate to active status will be through the board’s online system. Prior to reactivation to active status, the applicant has to complete all education that would have been needed had the applicant been on active status, including the required courses set by the AQB criteria. All such continuing education has to be verified whether or not the applicant has been in active practice in another jurisdiction. Such an applicant will be given credit for the most recent renewal fees previously paid if the applicant applies to reactivate in the same biennium at other than the applicant’s regular renewal date. An associate licensee changing from active to inactive status during a biennial renewal period will not, however, be entitled to a refund of any of the fees previously paid to attain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38.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