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481—2038.4</w:t>
      </w:r>
      <w:r>
        <w:rPr>
          <w:rFonts w:ascii="Times New Roman" w:hAnsi="Times New Roman"/>
          <w:b/>
          <w:i w:val="false"/>
          <w:color w:val="000000"/>
          <w:sz w:val="22"/>
        </w:rPr>
        <w:t xml:space="preserve">(272C,543D) </w:t>
      </w:r>
      <w:r>
        <w:rPr>
          <w:rFonts w:ascii="Times New Roman" w:hAnsi="Times New Roman"/>
          <w:b/>
          <w:i w:val="false"/>
          <w:color w:val="000000"/>
          <w:sz w:val="22"/>
        </w:rPr>
        <w:t xml:space="preserve">Failure to renew.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2038.4(1)</w:t>
      </w:r>
      <w:r>
        <w:rPr>
          <w:rFonts w:ascii="Times New Roman" w:hAnsi="Times New Roman"/>
          <w:b w:val="false"/>
          <w:i w:val="false"/>
          <w:color w:val="000000"/>
          <w:sz w:val="22"/>
        </w:rPr>
        <w:t> </w:t>
      </w:r>
      <w:r>
        <w:rPr>
          <w:rFonts w:ascii="Times New Roman" w:hAnsi="Times New Roman"/>
          <w:b w:val="false"/>
          <w:i w:val="false"/>
          <w:color w:val="000000"/>
          <w:sz w:val="22"/>
        </w:rPr>
        <w:t>The certificate or registration of a certified or associate appraiser lapses unless the appraiser submits a timely and sufficient renewal application by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2038.4(2)</w:t>
      </w:r>
      <w:r>
        <w:rPr>
          <w:rFonts w:ascii="Times New Roman" w:hAnsi="Times New Roman"/>
          <w:b w:val="false"/>
          <w:i w:val="false"/>
          <w:color w:val="000000"/>
          <w:sz w:val="22"/>
        </w:rPr>
        <w:t> </w:t>
      </w:r>
      <w:r>
        <w:rPr>
          <w:rFonts w:ascii="Times New Roman" w:hAnsi="Times New Roman"/>
          <w:b w:val="false"/>
          <w:i w:val="false"/>
          <w:color w:val="000000"/>
          <w:sz w:val="22"/>
        </w:rPr>
        <w:t>Certified and associate appraisers are not authorized to practice or to hold themselves out to the public as certified or registered appraisers during the period of time that the certificate or registration is lapsed. Any violation of this subrule will be grounds for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2038.4(3)</w:t>
      </w:r>
      <w:r>
        <w:rPr>
          <w:rFonts w:ascii="Times New Roman" w:hAnsi="Times New Roman"/>
          <w:b w:val="false"/>
          <w:i w:val="false"/>
          <w:color w:val="000000"/>
          <w:sz w:val="22"/>
        </w:rPr>
        <w:t> </w:t>
      </w:r>
      <w:r>
        <w:rPr>
          <w:rFonts w:ascii="Times New Roman" w:hAnsi="Times New Roman"/>
          <w:b w:val="false"/>
          <w:i w:val="false"/>
          <w:color w:val="000000"/>
          <w:sz w:val="22"/>
        </w:rPr>
        <w:t>Reinstatement. The board may reinstate a lapsed certificate or registration upon the applicant’s submission of an application to reinstate and completion of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Paying a penalty as provided by board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Paying the current renewal fee as provided by board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Paying the Appraisal Subcommittee National Registry fee as provided by board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Completing a state and national criminal history check as required by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Providing evidence of completed continuing education outlined in rule </w:t>
      </w:r>
      <w:hyperlink r:id="rId4">
        <w:r>
          <w:rPr>
            <w:rStyle w:val="Hyperlink"/>
            <w:rFonts w:ascii="Times New Roman" w:hAnsi="Times New Roman"/>
            <w:b w:val="false"/>
            <w:i w:val="false"/>
            <w:color w:val="000000"/>
            <w:sz w:val="22"/>
          </w:rPr>
          <w:t>481—2040.2</w:t>
        </w:r>
      </w:hyperlink>
      <w:r>
        <w:rPr>
          <w:rFonts w:ascii="Times New Roman" w:hAnsi="Times New Roman"/>
          <w:b w:val="false"/>
          <w:i w:val="false"/>
          <w:color w:val="000000"/>
          <w:sz w:val="22"/>
        </w:rPr>
        <w:t xml:space="preserve">(272C,543D), as modified for associate appraisers in subrule </w:t>
      </w:r>
      <w:hyperlink r:id="rId5">
        <w:r>
          <w:rPr>
            <w:rStyle w:val="Hyperlink"/>
            <w:rFonts w:ascii="Times New Roman" w:hAnsi="Times New Roman"/>
            <w:b w:val="false"/>
            <w:i w:val="false"/>
            <w:color w:val="000000"/>
            <w:sz w:val="22"/>
          </w:rPr>
          <w:t>2038.4(6)</w:t>
        </w:r>
      </w:hyperlink>
      <w:r>
        <w:rPr>
          <w:rFonts w:ascii="Times New Roman" w:hAnsi="Times New Roman"/>
          <w:b w:val="false"/>
          <w:i w:val="false"/>
          <w:color w:val="000000"/>
          <w:sz w:val="22"/>
        </w:rPr>
        <w:t>, if the licensee wishes to reinstate to active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Providing a written statement outlining the professional activities of the applicant in the state of Iowa during the period in which the applicant’s license had lapsed. The statement will describe all appraisal services performed, with or without the use of the titles described in Iowa Code section </w:t>
      </w:r>
      <w:hyperlink r:id="rId6">
        <w:r>
          <w:rPr>
            <w:rStyle w:val="Hyperlink"/>
            <w:rFonts w:ascii="Times New Roman" w:hAnsi="Times New Roman"/>
            <w:b w:val="false"/>
            <w:i w:val="false"/>
            <w:color w:val="000000"/>
            <w:sz w:val="22"/>
          </w:rPr>
          <w:t>543D.15</w:t>
        </w:r>
      </w:hyperlink>
      <w:r>
        <w:rPr>
          <w:rFonts w:ascii="Times New Roman" w:hAnsi="Times New Roman"/>
          <w:b w:val="false"/>
          <w:i w:val="false"/>
          <w:color w:val="000000"/>
          <w:sz w:val="22"/>
        </w:rPr>
        <w:t>, for all appraisal assignments that federal or state law, rule, or policy mandate to be performed by a certified real estate appraiser.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2038.4(4)</w:t>
      </w:r>
      <w:r>
        <w:rPr>
          <w:rFonts w:ascii="Times New Roman" w:hAnsi="Times New Roman"/>
          <w:b w:val="false"/>
          <w:i w:val="false"/>
          <w:color w:val="000000"/>
          <w:sz w:val="22"/>
        </w:rPr>
        <w:t> </w:t>
      </w:r>
      <w:r>
        <w:rPr>
          <w:rFonts w:ascii="Times New Roman" w:hAnsi="Times New Roman"/>
          <w:b w:val="false"/>
          <w:i w:val="false"/>
          <w:color w:val="000000"/>
          <w:sz w:val="22"/>
        </w:rPr>
        <w:t>Reinstating associate appraisers are to follow special continuing education obligations. The board seeks to ensure that associate appraisers make progress toward full completion of all qualifying education needed for eventual certification, as provided in the rules. As a result, an associate appraiser applying to reinstate a registration that has been lapsed for 12 months or longer will complete the most recent seven-hour USPAP course, and only qualifying education toward the continuing education needed for reinstatement, until all qualifying education has been completed. If the applicant has already completed all qualifying education or has to have continuing education hours beyond those needed to fully complete all qualifying education, the applicant may use any approved continuing education course in addition to the mandatory seven-hour USPAP course.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2040.2.pdf" Type="http://schemas.openxmlformats.org/officeDocument/2006/relationships/hyperlink" Id="rId4"/>
    <Relationship TargetMode="External" Target="https://www.legis.iowa.gov/docs/iac/rule/481.2038.4.pdf" Type="http://schemas.openxmlformats.org/officeDocument/2006/relationships/hyperlink" Id="rId5"/>
    <Relationship TargetMode="External" Target="https://www.legis.iowa.gov/docs/ico/chapter/543D.15.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