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481—2038.3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Certified and associate appraisers have to file a complete renewal application with the board by the June 30 deadline in the biennial renewal year. An application will be deemed filed on the date of board receipt, the date of electronic submission or, if payment is mailed, the date postmarked but not the date metered.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An applicant for renewal has to report the applicant’s compliance with the continuing education obligations provided in </w:t>
      </w:r>
      <w:hyperlink r:id="rId4">
        <w:r>
          <w:rPr>
            <w:rStyle w:val="Hyperlink"/>
            <w:rFonts w:ascii="Times New Roman" w:hAnsi="Times New Roman"/>
            <w:b w:val="false"/>
            <w:i w:val="false"/>
            <w:color w:val="000000"/>
            <w:sz w:val="22"/>
          </w:rPr>
          <w:t>481—Chapter 2040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2038.3(3)</w:t>
      </w:r>
      <w:r>
        <w:rPr>
          <w:rFonts w:ascii="Times New Roman" w:hAnsi="Times New Roman"/>
          <w:b w:val="false"/>
          <w:i w:val="false"/>
          <w:color w:val="000000"/>
          <w:sz w:val="22"/>
        </w:rPr>
        <w:t> </w:t>
      </w:r>
      <w:r>
        <w:rPr>
          <w:rFonts w:ascii="Times New Roman" w:hAnsi="Times New Roman"/>
          <w:b w:val="false"/>
          <w:i/>
          <w:color w:val="000000"/>
          <w:sz w:val="22"/>
        </w:rPr>
        <w:t xml:space="preserve">Background disclosures. </w:t>
      </w:r>
      <w:r>
        <w:rPr>
          <w:rFonts w:ascii="Times New Roman" w:hAnsi="Times New Roman"/>
          <w:b w:val="false"/>
          <w:i w:val="false"/>
          <w:color w:val="000000"/>
          <w:sz w:val="22"/>
        </w:rPr>
        <w:t>An applicant for renewal has to disclose such background and character information as the board requests, which may include disciplinary action taken by any jurisdiction regarding a professional license of any type, the denial of an application for a professional license of any type by any jurisdiction, and the conviction of any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2038.3(4)</w:t>
      </w:r>
      <w:r>
        <w:rPr>
          <w:rFonts w:ascii="Times New Roman" w:hAnsi="Times New Roman"/>
          <w:b w:val="false"/>
          <w:i w:val="false"/>
          <w:color w:val="000000"/>
          <w:sz w:val="22"/>
        </w:rPr>
        <w:t> </w:t>
      </w:r>
      <w:r>
        <w:rPr>
          <w:rFonts w:ascii="Times New Roman" w:hAnsi="Times New Roman"/>
          <w:b w:val="false"/>
          <w:i/>
          <w:color w:val="000000"/>
          <w:sz w:val="22"/>
        </w:rPr>
        <w:t xml:space="preserve">Insufficient applications. </w:t>
      </w:r>
      <w:r>
        <w:rPr>
          <w:rFonts w:ascii="Times New Roman" w:hAnsi="Times New Roman"/>
          <w:b w:val="false"/>
          <w:i w:val="false"/>
          <w:color w:val="000000"/>
          <w:sz w:val="22"/>
        </w:rPr>
        <w:t>The board will reject applications that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rejected applications. </w:t>
      </w:r>
      <w:r>
        <w:rPr>
          <w:rFonts w:ascii="Times New Roman" w:hAnsi="Times New Roman"/>
          <w:b w:val="false"/>
          <w:i w:val="false"/>
          <w:color w:val="000000"/>
          <w:sz w:val="22"/>
        </w:rPr>
        <w:t>The board will promptly notify an applicant of the basis for rejecting an insufficient renewal application. Applicants may correct deficiencies and resubmit an application. Resubmitted applications are deemed received on the date of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processing not determinative. </w:t>
      </w:r>
      <w:r>
        <w:rPr>
          <w:rFonts w:ascii="Times New Roman" w:hAnsi="Times New Roman"/>
          <w:b w:val="false"/>
          <w:i w:val="false"/>
          <w:color w:val="000000"/>
          <w:sz w:val="22"/>
        </w:rPr>
        <w:t>The administrative processing of an application to renew a certificate or registration will not prevent the board from subsequently challenging the application based on new information, such as after-acquired information of continuing education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2038.3(7)</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application to renew. </w:t>
      </w:r>
      <w:r>
        <w:rPr>
          <w:rFonts w:ascii="Times New Roman" w:hAnsi="Times New Roman"/>
          <w:b w:val="false"/>
          <w:i w:val="false"/>
          <w:color w:val="000000"/>
          <w:sz w:val="22"/>
        </w:rPr>
        <w:t>If grounds exist to deny an application to renew, the board will send notification to the applicant stating the grounds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204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