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481—2038.2</w:t>
      </w:r>
      <w:r>
        <w:rPr>
          <w:rFonts w:ascii="Times New Roman" w:hAnsi="Times New Roman"/>
          <w:b/>
          <w:i w:val="false"/>
          <w:color w:val="000000"/>
          <w:sz w:val="22"/>
        </w:rPr>
        <w:t xml:space="preserve">(272C,543D) </w:t>
      </w:r>
      <w:r>
        <w:rPr>
          <w:rFonts w:ascii="Times New Roman" w:hAnsi="Times New Roman"/>
          <w:b/>
          <w:i w:val="false"/>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2038.2(1)</w:t>
      </w:r>
      <w:r>
        <w:rPr>
          <w:rFonts w:ascii="Times New Roman" w:hAnsi="Times New Roman"/>
          <w:b w:val="false"/>
          <w:i w:val="false"/>
          <w:color w:val="000000"/>
          <w:sz w:val="22"/>
        </w:rPr>
        <w:t> </w:t>
      </w:r>
      <w:r>
        <w:rPr>
          <w:rFonts w:ascii="Times New Roman" w:hAnsi="Times New Roman"/>
          <w:b w:val="false"/>
          <w:i w:val="false"/>
          <w:color w:val="000000"/>
          <w:sz w:val="22"/>
        </w:rPr>
        <w:t>The board may send renewal notices to licensed appraisers. However, it is the licensee’s responsibility to renew timely.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2038.2(2)</w:t>
      </w:r>
      <w:r>
        <w:rPr>
          <w:rFonts w:ascii="Times New Roman" w:hAnsi="Times New Roman"/>
          <w:b w:val="false"/>
          <w:i w:val="false"/>
          <w:color w:val="000000"/>
          <w:sz w:val="22"/>
        </w:rPr>
        <w:t> </w:t>
      </w:r>
      <w:r>
        <w:rPr>
          <w:rFonts w:ascii="Times New Roman" w:hAnsi="Times New Roman"/>
          <w:b w:val="false"/>
          <w:i w:val="false"/>
          <w:color w:val="000000"/>
          <w:sz w:val="22"/>
        </w:rPr>
        <w:t>Certified and associate appraisers have to ensure that their contact information on file with the board office is current and that the board is notified within 30 days of any changes.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