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Case numbers.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based on written complaint received by the board or complaint initiated by the board, all complaint files will be tracked by a case numbering system. Once a case file number is assigned to a complaint, all persons communicating with the board regarding that complaint are encouraged to include the case file number to facilitate accurate records and prompt response.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