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need to be submitted to the board through the board’s online system. The board may also initiate its own complaints.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2037.4(1)</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which may be initiated by the board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2037.4(2)</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2037.4(3)</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Tips that are not complaints will be evaluated by the disciplinary committee but may not be assigned a case number or further investigated. Complaints that have been submitted and assigned a case number will be referred to the discipline committee. Final decisions on complaints will be made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