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481—2037.12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Mitigating and aggravating factors. </w:t>
      </w:r>
      <w:r>
        <w:rPr>
          <w:rFonts w:ascii="Times New Roman" w:hAnsi="Times New Roman"/>
          <w:b w:val="false"/>
          <w:i w:val="false"/>
          <w:color w:val="000000"/>
          <w:sz w:val="22"/>
        </w:rPr>
        <w:t>Factors the board may consider when determining whether to impose discipline and what type of discipline to impose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2037.12(1)</w:t>
      </w:r>
      <w:r>
        <w:rPr>
          <w:rFonts w:ascii="Times New Roman" w:hAnsi="Times New Roman"/>
          <w:b w:val="false"/>
          <w:i w:val="false"/>
          <w:color w:val="000000"/>
          <w:sz w:val="22"/>
        </w:rPr>
        <w:t> </w:t>
      </w:r>
      <w:r>
        <w:rPr>
          <w:rFonts w:ascii="Times New Roman" w:hAnsi="Times New Roman"/>
          <w:b w:val="false"/>
          <w:i w:val="false"/>
          <w:color w:val="000000"/>
          <w:sz w:val="22"/>
        </w:rPr>
        <w:t>History and background of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was a registered associate appraiser or a certified appraiser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disciplinary history or cautionary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certification or registration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Disciplinary history of current or prior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Degree of cooperation with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Extent of self-initiated reform or remedial action after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volume or geographic range of the respondent’s practice is, or was at the time of the violation,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with a lapsed, inactive, retired, suspended, revoked, or surrendered certificate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2037.12(2)</w:t>
      </w:r>
      <w:r>
        <w:rPr>
          <w:rFonts w:ascii="Times New Roman" w:hAnsi="Times New Roman"/>
          <w:b w:val="false"/>
          <w:i w:val="false"/>
          <w:color w:val="000000"/>
          <w:sz w:val="22"/>
        </w:rPr>
        <w:t> </w:t>
      </w:r>
      <w:r>
        <w:rPr>
          <w:rFonts w:ascii="Times New Roman" w:hAnsi="Times New Roman"/>
          <w:b w:val="false"/>
          <w:i w:val="false"/>
          <w:color w:val="000000"/>
          <w:sz w:val="22"/>
        </w:rPr>
        <w:t>Nature of violations,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Length of time since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isolated or recurring.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there are multiple violations or appraisals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in the nature of an error or situational carelessness or neglect, or reflects a more fundamental lack of familiarity with applicable appraisal methodology or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Indicia of bad faith, false statements, deceptive practices, or willful and intentional acts, whether within the circumstances of the violation or in the course of the board’s investigation or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improper advocacy or other violation of the USPAP ethics rule or of Iowa Code section </w:t>
      </w:r>
      <w:hyperlink r:id="rId4">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543D.18A(1)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or standard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outside the scope of practice authorized by respondent’s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relates to the respondent’s supervisory role, the respondent’s individual appraisal practice,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2037.12(3)</w:t>
      </w:r>
      <w:r>
        <w:rPr>
          <w:rFonts w:ascii="Times New Roman" w:hAnsi="Times New Roman"/>
          <w:b w:val="false"/>
          <w:i w:val="false"/>
          <w:color w:val="000000"/>
          <w:sz w:val="22"/>
        </w:rPr>
        <w:t> </w:t>
      </w:r>
      <w:r>
        <w:rPr>
          <w:rFonts w:ascii="Times New Roman" w:hAnsi="Times New Roman"/>
          <w:b w:val="false"/>
          <w:i w:val="false"/>
          <w:color w:val="000000"/>
          <w:sz w:val="22"/>
        </w:rPr>
        <w:t>Interest of the public,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Degree of financial or other harm to a client, consumer, lending institution,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Risk of harm, whether or not the violation caused actual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Economic or other benefit gained by respondent or by others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Deterrent impact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issued a corrected appraisal report when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18.pdf" Type="http://schemas.openxmlformats.org/officeDocument/2006/relationships/hyperlink" Id="rId4"/>
    <Relationship TargetMode="External" Target="https://www.legis.iowa.gov/docs/ico/chapter/543D.18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