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481—2037.11</w:t>
      </w:r>
      <w:r>
        <w:rPr>
          <w:rFonts w:ascii="Times New Roman" w:hAnsi="Times New Roman"/>
          <w:b/>
          <w:i w:val="false"/>
          <w:color w:val="000000"/>
          <w:sz w:val="22"/>
        </w:rPr>
        <w:t xml:space="preserve">(543D) </w:t>
      </w:r>
      <w:r>
        <w:rPr>
          <w:rFonts w:ascii="Times New Roman" w:hAnsi="Times New Roman"/>
          <w:b/>
          <w:i w:val="false"/>
          <w:color w:val="000000"/>
          <w:sz w:val="22"/>
        </w:rPr>
        <w:t xml:space="preserve">Decisions. </w:t>
      </w:r>
      <w:r>
        <w:rPr>
          <w:rFonts w:ascii="Times New Roman" w:hAnsi="Times New Roman"/>
          <w:b w:val="false"/>
          <w:i w:val="false"/>
          <w:color w:val="000000"/>
          <w:sz w:val="22"/>
        </w:rPr>
        <w:t>The board will make findings of fact and conclusions of law, and set forth the board’s decision, order, or both in the case. The board’s decision may include, without limitation, any of the following outcomes, either individually or in combination: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Dismissing the charges;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Suspending or revoking the appraiser’s certification or associate’s registration as authorized by law;</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Imposing civil penalties, the amount to be set at the discretion of the board but not exceeding $1,000 per violation. Civil penalties may be imposed for any of the disciplinary violations specified in Iowa Code section </w:t>
      </w:r>
      <w:hyperlink r:id="rId4">
        <w:r>
          <w:rPr>
            <w:rStyle w:val="Hyperlink"/>
            <w:rFonts w:ascii="Times New Roman" w:hAnsi="Times New Roman"/>
            <w:b w:val="false"/>
            <w:i w:val="false"/>
            <w:color w:val="000000"/>
            <w:sz w:val="22"/>
          </w:rPr>
          <w:t>543D.17</w:t>
        </w:r>
      </w:hyperlink>
      <w:r>
        <w:rPr>
          <w:rFonts w:ascii="Times New Roman" w:hAnsi="Times New Roman"/>
          <w:b w:val="false"/>
          <w:i w:val="false"/>
          <w:color w:val="000000"/>
          <w:sz w:val="22"/>
        </w:rPr>
        <w:t xml:space="preserve"> and chapter </w:t>
      </w:r>
      <w:hyperlink r:id="rId5">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or for any repeat offenses;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Imposing a period of probation, either with or without conditions;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Obligating the licensee to undergo reexamination;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Obligating the licensee to take additional professional education, reeducation, or continuing education;</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Issuing a citation and a warning;</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Imposing desk review of the appraiser’s work product;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Issuing a consent order either with or without conditions;</w:t>
      </w:r>
    </w:p>
    <w:p>
      <w:pPr>
        <w:spacing w:before="0" w:after="0"/>
        <w:ind w:left="120"/>
        <w:jc w:val="both"/>
      </w:pPr>
      <w:r>
        <w:rPr>
          <w:rFonts w:ascii="Times New Roman" w:hAnsi="Times New Roman"/>
          <w:b w:val="false"/>
          <w:i w:val="false"/>
          <w:color w:val="000000"/>
          <w:sz w:val="22"/>
        </w:rPr>
        <w:t>    10.   </w:t>
      </w:r>
      <w:r>
        <w:rPr>
          <w:rFonts w:ascii="Times New Roman" w:hAnsi="Times New Roman"/>
          <w:b w:val="false"/>
          <w:i w:val="false"/>
          <w:color w:val="000000"/>
          <w:sz w:val="22"/>
        </w:rPr>
        <w:t>Imposing consultation with one or more peer reviewers;</w:t>
      </w:r>
    </w:p>
    <w:p>
      <w:pPr>
        <w:spacing w:before="0" w:after="0"/>
        <w:ind w:left="120"/>
        <w:jc w:val="both"/>
      </w:pPr>
      <w:r>
        <w:rPr>
          <w:rFonts w:ascii="Times New Roman" w:hAnsi="Times New Roman"/>
          <w:b w:val="false"/>
          <w:i w:val="false"/>
          <w:color w:val="000000"/>
          <w:sz w:val="22"/>
        </w:rPr>
        <w:t>    11.   </w:t>
      </w:r>
      <w:r>
        <w:rPr>
          <w:rFonts w:ascii="Times New Roman" w:hAnsi="Times New Roman"/>
          <w:b w:val="false"/>
          <w:i w:val="false"/>
          <w:color w:val="000000"/>
          <w:sz w:val="22"/>
        </w:rPr>
        <w:t>Revoking an appraiser’s eligibility to supervise;</w:t>
      </w:r>
    </w:p>
    <w:p>
      <w:pPr>
        <w:spacing w:before="0" w:after="0"/>
        <w:ind w:left="120"/>
        <w:jc w:val="both"/>
      </w:pPr>
      <w:r>
        <w:rPr>
          <w:rFonts w:ascii="Times New Roman" w:hAnsi="Times New Roman"/>
          <w:b w:val="false"/>
          <w:i w:val="false"/>
          <w:color w:val="000000"/>
          <w:sz w:val="22"/>
        </w:rPr>
        <w:t>    12.   </w:t>
      </w:r>
      <w:r>
        <w:rPr>
          <w:rFonts w:ascii="Times New Roman" w:hAnsi="Times New Roman"/>
          <w:b w:val="false"/>
          <w:i w:val="false"/>
          <w:color w:val="000000"/>
          <w:sz w:val="22"/>
        </w:rPr>
        <w:t>Compelling submission of monthly logs;</w:t>
      </w:r>
    </w:p>
    <w:p>
      <w:pPr>
        <w:spacing w:before="0" w:after="0"/>
        <w:ind w:left="120"/>
        <w:jc w:val="both"/>
      </w:pPr>
      <w:r>
        <w:rPr>
          <w:rFonts w:ascii="Times New Roman" w:hAnsi="Times New Roman"/>
          <w:b w:val="false"/>
          <w:i w:val="false"/>
          <w:color w:val="000000"/>
          <w:sz w:val="22"/>
        </w:rPr>
        <w:t>    13.   </w:t>
      </w:r>
      <w:r>
        <w:rPr>
          <w:rFonts w:ascii="Times New Roman" w:hAnsi="Times New Roman"/>
          <w:b w:val="false"/>
          <w:i w:val="false"/>
          <w:color w:val="000000"/>
          <w:sz w:val="22"/>
        </w:rPr>
        <w:t>Placing limitations on a licensee’s practice, such as removing a licensee’s authority to act as an instructor; and</w:t>
      </w:r>
    </w:p>
    <w:p>
      <w:pPr>
        <w:spacing w:before="0" w:after="0"/>
        <w:ind w:left="120"/>
        <w:jc w:val="both"/>
      </w:pPr>
      <w:r>
        <w:rPr>
          <w:rFonts w:ascii="Times New Roman" w:hAnsi="Times New Roman"/>
          <w:b w:val="false"/>
          <w:i w:val="false"/>
          <w:color w:val="000000"/>
          <w:sz w:val="22"/>
        </w:rPr>
        <w:t>    14.   </w:t>
      </w:r>
      <w:r>
        <w:rPr>
          <w:rFonts w:ascii="Times New Roman" w:hAnsi="Times New Roman"/>
          <w:b w:val="false"/>
          <w:i w:val="false"/>
          <w:color w:val="000000"/>
          <w:sz w:val="22"/>
        </w:rPr>
        <w:t>Imposing any other form of discipline authorized by a provision of law that the board, in its discretion, believes is warranted under the circumstances of the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7844C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43D.17.pdf" Type="http://schemas.openxmlformats.org/officeDocument/2006/relationships/hyperlink" Id="rId4"/>
    <Relationship TargetMode="External" Target="https://www.legis.iowa.gov/docs/ico/chapter/272C.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