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481—2036.3</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registered associate appraiser or a certified real estate appraiser based on any one or more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w:t>
      </w:r>
      <w:r>
        <w:rPr>
          <w:rFonts w:ascii="Times New Roman" w:hAnsi="Times New Roman"/>
          <w:b w:val="false"/>
          <w:i w:val="false"/>
          <w:color w:val="000000"/>
          <w:sz w:val="22"/>
        </w:rPr>
        <w:t> </w:t>
      </w:r>
      <w:r>
        <w:rPr>
          <w:rFonts w:ascii="Times New Roman" w:hAnsi="Times New Roman"/>
          <w:b w:val="false"/>
          <w:i/>
          <w:color w:val="000000"/>
          <w:sz w:val="22"/>
        </w:rPr>
        <w:t xml:space="preserve">Code violations. </w:t>
      </w:r>
      <w:r>
        <w:rPr>
          <w:rFonts w:ascii="Times New Roman" w:hAnsi="Times New Roman"/>
          <w:b w:val="false"/>
          <w:i w:val="false"/>
          <w:color w:val="000000"/>
          <w:sz w:val="22"/>
        </w:rPr>
        <w:t>Any violation of an Iowa Code provision that authorizes imposition of licensee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diploma, course certificate, identification, credential, license, registration, certification, examination report, affidavit, or other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provide complete information in response to a question on an application for initial or renewal registration or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incompetence.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standards of acceptable and prevailing practice of registered associate appraisers or certified real property appraisers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willful, repeated, or material deviation from USPAP standards, or other act or omission that demonstrates an inability to safely practice in a manner protective of the public’s interest, including any violation of USPAP’s competency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2036.3(3)</w:t>
      </w:r>
      <w:r>
        <w:rPr>
          <w:rFonts w:ascii="Times New Roman" w:hAnsi="Times New Roman"/>
          <w:b w:val="false"/>
          <w:i w:val="false"/>
          <w:color w:val="000000"/>
          <w:sz w:val="22"/>
        </w:rPr>
        <w:t> </w:t>
      </w:r>
      <w:r>
        <w:rPr>
          <w:rFonts w:ascii="Times New Roman" w:hAnsi="Times New Roman"/>
          <w:b w:val="false"/>
          <w:i/>
          <w:color w:val="000000"/>
          <w:sz w:val="22"/>
        </w:rPr>
        <w:t xml:space="preserve">Deceptive practices. </w:t>
      </w:r>
      <w:r>
        <w:rPr>
          <w:rFonts w:ascii="Times New Roman" w:hAnsi="Times New Roman"/>
          <w:b w:val="false"/>
          <w:i w:val="false"/>
          <w:color w:val="000000"/>
          <w:sz w:val="22"/>
        </w:rPr>
        <w:t>Deceptive practices are grounds for discipline, whether or not actual injury is established, and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real property appraising.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registrant or certificate holder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records or appraisal logs through false or deceptive representations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Submission of false or misleading reports or information to the board including information supplied in an audit of continuing education, reports submitted as a condition of probation, or any reports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Making any false or misleading statement in support of an application for registration or certification submitted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a certificate or registration, certificate or registration number, or signature of another or of a fictitious registrant or certificate holder, or otherwise falsely impersonating a certified appraiser or registered associate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registered associate appraiser or certified appraiser when one’s registration or certificate has been suspended, revoked, surrendered, or placed on inactive or retired status, or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registrant’s or certificate holder’s registration or certificate for any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Misrepresenting a specialized service as an appraisal assignment in violation of Iowa Code section </w:t>
      </w:r>
      <w:hyperlink r:id="rId4">
        <w:r>
          <w:rPr>
            <w:rStyle w:val="Hyperlink"/>
            <w:rFonts w:ascii="Times New Roman" w:hAnsi="Times New Roman"/>
            <w:b w:val="false"/>
            <w:i w:val="false"/>
            <w:color w:val="000000"/>
            <w:sz w:val="22"/>
          </w:rPr>
          <w:t>543D.18(3)</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2036.3(4)</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conduct. </w:t>
      </w:r>
      <w:r>
        <w:rPr>
          <w:rFonts w:ascii="Times New Roman" w:hAnsi="Times New Roman"/>
          <w:b w:val="false"/>
          <w:i w:val="false"/>
          <w:color w:val="000000"/>
          <w:sz w:val="22"/>
        </w:rPr>
        <w:t>Registrants and certificate holders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improper sexual contact, or making suggestive, lewd, lascivious, offensive or improper remarks or advances, if such behavior occurs within the practice of real property appraising or if such behavior otherwise provides a reasonable basis for the board to conclude that such behavior within the practice of real estate appraising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 or otherwise violating the public trust, as provided in USPAP’s ethics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Aiding or abetting any unlawful activity for which a civil penalty can be imposed under rule </w:t>
      </w:r>
      <w:hyperlink r:id="rId6">
        <w:r>
          <w:rPr>
            <w:rStyle w:val="Hyperlink"/>
            <w:rFonts w:ascii="Times New Roman" w:hAnsi="Times New Roman"/>
            <w:b w:val="false"/>
            <w:i w:val="false"/>
            <w:color w:val="000000"/>
            <w:sz w:val="22"/>
          </w:rPr>
          <w:t>481—2042.2</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2036.3(5)</w:t>
      </w:r>
      <w:r>
        <w:rPr>
          <w:rFonts w:ascii="Times New Roman" w:hAnsi="Times New Roman"/>
          <w:b w:val="false"/>
          <w:i w:val="false"/>
          <w:color w:val="000000"/>
          <w:sz w:val="22"/>
        </w:rPr>
        <w:t> </w:t>
      </w:r>
      <w:r>
        <w:rPr>
          <w:rFonts w:ascii="Times New Roman" w:hAnsi="Times New Roman"/>
          <w:b w:val="false"/>
          <w:i/>
          <w:color w:val="000000"/>
          <w:sz w:val="22"/>
        </w:rPr>
        <w:t xml:space="preserve">Lack of proper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 registered associate appraiser or certified real property appraiser without satisfying the continuing education for registration or certificate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Acting as a supervisor without proper qualification, as provided in rule </w:t>
      </w:r>
      <w:hyperlink r:id="rId7">
        <w:r>
          <w:rPr>
            <w:rStyle w:val="Hyperlink"/>
            <w:rFonts w:ascii="Times New Roman" w:hAnsi="Times New Roman"/>
            <w:b w:val="false"/>
            <w:i w:val="false"/>
            <w:color w:val="000000"/>
            <w:sz w:val="22"/>
          </w:rPr>
          <w:t>481—2034.7</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that adversely affects the registrant’s or certificate holder’s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that are necessary to ensure a high standard of professional care as provided in Iowa Code section </w:t>
      </w:r>
      <w:hyperlink r:id="rId8">
        <w:r>
          <w:rPr>
            <w:rStyle w:val="Hyperlink"/>
            <w:rFonts w:ascii="Times New Roman" w:hAnsi="Times New Roman"/>
            <w:b w:val="false"/>
            <w:i w:val="false"/>
            <w:color w:val="000000"/>
            <w:sz w:val="22"/>
          </w:rPr>
          <w:t>272C.3(2)</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that impairs a practitioner’s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meet the minimum qualifications for registration as an associate appraiser or certification as a certified real property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certification, or outside the scope of a supervisor’s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2036.3(6)</w:t>
      </w:r>
      <w:r>
        <w:rPr>
          <w:rFonts w:ascii="Times New Roman" w:hAnsi="Times New Roman"/>
          <w:b w:val="false"/>
          <w:i w:val="false"/>
          <w:color w:val="000000"/>
          <w:sz w:val="22"/>
        </w:rPr>
        <w:t> </w:t>
      </w:r>
      <w:r>
        <w:rPr>
          <w:rFonts w:ascii="Times New Roman" w:hAnsi="Times New Roman"/>
          <w:b w:val="false"/>
          <w:i/>
          <w:color w:val="000000"/>
          <w:sz w:val="22"/>
        </w:rPr>
        <w:t xml:space="preserve">Negligence by the registrant or certificate holder in the practice of the profession. </w:t>
      </w:r>
      <w:r>
        <w:rPr>
          <w:rFonts w:ascii="Times New Roman" w:hAnsi="Times New Roman"/>
          <w:b w:val="false"/>
          <w:i w:val="false"/>
          <w:color w:val="000000"/>
          <w:sz w:val="22"/>
        </w:rPr>
        <w:t>Negligence by the registrant or certificate holder in the practice of the profession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failure to exercise due care including negligent delegation of duties to or supervision of associate appraisers, or other employees, agents, or persons, in developing an appraisal, preparing an appraisal report, or communicating an appraisal,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Neglect of contractual or other duties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2036.3(7)</w:t>
      </w:r>
      <w:r>
        <w:rPr>
          <w:rFonts w:ascii="Times New Roman" w:hAnsi="Times New Roman"/>
          <w:b w:val="false"/>
          <w:i w:val="false"/>
          <w:color w:val="000000"/>
          <w:sz w:val="22"/>
        </w:rPr>
        <w:t> </w:t>
      </w:r>
      <w:r>
        <w:rPr>
          <w:rFonts w:ascii="Times New Roman" w:hAnsi="Times New Roman"/>
          <w:b w:val="false"/>
          <w:i/>
          <w:color w:val="000000"/>
          <w:sz w:val="22"/>
        </w:rPr>
        <w:t xml:space="preserve">Professional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 regulation or law of this state, another state, or the United States, which relates to the practice of real estate appraising.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or another state, territory, or country. A stay by an appellate court will not negate this obligation; however, if such disciplinary action is overturned or reversed by a court of last resort, discipline by the board based solely on such action will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9">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10">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(limitations on persons assisting in the development or reporting of a certified appraisal).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retain records as provided in Iowa Code section </w:t>
      </w:r>
      <w:hyperlink r:id="rId11">
        <w:r>
          <w:rPr>
            <w:rStyle w:val="Hyperlink"/>
            <w:rFonts w:ascii="Times New Roman" w:hAnsi="Times New Roman"/>
            <w:b w:val="false"/>
            <w:i w:val="false"/>
            <w:color w:val="000000"/>
            <w:sz w:val="22"/>
          </w:rPr>
          <w:t>543D.19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impaired practitioner review committee or violation of the terms of an impaired practitioner recovery contract with the impaired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2036.3(8)</w:t>
      </w:r>
      <w:r>
        <w:rPr>
          <w:rFonts w:ascii="Times New Roman" w:hAnsi="Times New Roman"/>
          <w:b w:val="false"/>
          <w:i w:val="false"/>
          <w:color w:val="000000"/>
          <w:sz w:val="22"/>
        </w:rPr>
        <w:t> </w:t>
      </w:r>
      <w:r>
        <w:rPr>
          <w:rFonts w:ascii="Times New Roman" w:hAnsi="Times New Roman"/>
          <w:b w:val="false"/>
          <w:i/>
          <w:color w:val="000000"/>
          <w:sz w:val="22"/>
        </w:rPr>
        <w:t xml:space="preserve">Willful or repeated violations. </w:t>
      </w:r>
      <w:r>
        <w:rPr>
          <w:rFonts w:ascii="Times New Roman" w:hAnsi="Times New Roman"/>
          <w:b w:val="false"/>
          <w:i w:val="false"/>
          <w:color w:val="000000"/>
          <w:sz w:val="22"/>
        </w:rPr>
        <w:t xml:space="preserve">The willful or repeated violation or disregard of any provision of Iowa Code chapter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2036.3(9)</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by a registrant or certificate holder or an applicant for a registration or certificate to report in writing to the board any revocation, suspension, or other disciplinary action taken by a licensing authority, in Iowa or any other jurisdiction, within 30 calendar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a registrant or certificate holder or an applicant for a registration or certificate to report, within 30 calendar days of the action, any voluntary surrender of a professional license to resolve a pending disciplinary investigation or action, in Iowa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calendar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calendar days after occurrence of any adverse judgment in a professional or occupational malpractice action, or settlement of any claim involving malpractice,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registrant or certificate holder to the board for any violation listed in these rules, pursuant to Iowa Code section </w:t>
      </w:r>
      <w:hyperlink r:id="rId14">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promptly after the registrant or certificate holder becomes aware that a reportable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the appraiser’s principal place of business and any change in the appraiser’s principal place of business within 30 calendar days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associate appraiser or supervisor to timely respond to board requests for information, as provided in </w:t>
      </w:r>
      <w:hyperlink r:id="rId15">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board order. </w:t>
      </w:r>
      <w:r>
        <w:rPr>
          <w:rFonts w:ascii="Times New Roman" w:hAnsi="Times New Roman"/>
          <w:b w:val="false"/>
          <w:i w:val="false"/>
          <w:color w:val="000000"/>
          <w:sz w:val="22"/>
        </w:rPr>
        <w:t>Failure to comply with the terms of a board order or the terms of a settlement agreement or consent order, or other decision of the board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2036.3(11)</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Conviction, in this state or any other jurisdiction, of any felony offense that directly relates to the profession, or of any crime that is substantially related to the qualifications, functions, duties or practice of a person developing or communicating real estate appraisals to others. Any crime involving deception, dishonesty or disregard for the safety of others will be deemed directly related to the practice of real property appraising. A certified copy of the final order or judgment of conviction or plea of guilty in this state or in another jurisdiction will be conclusive evidence of the conviction. “Conviction” includes any plea of guilty or nolo contendere, including Alford pleas, or finding of guilt whether or not judgment or sentence is deferred, withheld, or not entered, and whether or not the conviction is on appeal. If such conviction is overturned or reversed by a court of last resort, discipline by the board based solely on the conviction will be vacated. A conviction qualifies as a felony offense if the offense is designated as a felony in the jurisdiction in which the conviction occurred, or if the offense is committed in this state, the offense would be a felony, without regard to its designation elsewhere. An offense directly relates to the profession if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actions taken in furtherance of an offense are actions customarily performed within the scope of practice of the profession,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an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a conviction may be grounds for revocation or suspension only if an unreasonable risk to public safety exists because the offense directly relates to the duties and responsibilities of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18.pdf" Type="http://schemas.openxmlformats.org/officeDocument/2006/relationships/hyperlink" Id="rId4"/>
    <Relationship TargetMode="External" Target="https://www.legis.iowa.gov/docs/ico/chapter/543D.18.pdf" Type="http://schemas.openxmlformats.org/officeDocument/2006/relationships/hyperlink" Id="rId5"/>
    <Relationship TargetMode="External" Target="https://www.legis.iowa.gov/docs/iac/rule/481.2042.2.pdf" Type="http://schemas.openxmlformats.org/officeDocument/2006/relationships/hyperlink" Id="rId6"/>
    <Relationship TargetMode="External" Target="https://www.legis.iowa.gov/docs/iac/rule/481.2034.7.pdf" Type="http://schemas.openxmlformats.org/officeDocument/2006/relationships/hyperlink" Id="rId7"/>
    <Relationship TargetMode="External" Target="https://www.legis.iowa.gov/docs/ico/chapter/272C.3.pdf" Type="http://schemas.openxmlformats.org/officeDocument/2006/relationships/hyperlink" Id="rId8"/>
    <Relationship TargetMode="External" Target="https://www.legis.iowa.gov/docs/ico/chapter/543D.18.pdf" Type="http://schemas.openxmlformats.org/officeDocument/2006/relationships/hyperlink" Id="rId9"/>
    <Relationship TargetMode="External" Target="https://www.legis.iowa.gov/docs/ico/chapter/543D.20.pdf" Type="http://schemas.openxmlformats.org/officeDocument/2006/relationships/hyperlink" Id="rId10"/>
    <Relationship TargetMode="External" Target="https://www.legis.iowa.gov/docs/ico/chapter/543D.19.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543D.pdf" Type="http://schemas.openxmlformats.org/officeDocument/2006/relationships/hyperlink" Id="rId13"/>
    <Relationship TargetMode="External" Target="https://www.legis.iowa.gov/docs/ico/chapter/272C.9.pdf" Type="http://schemas.openxmlformats.org/officeDocument/2006/relationships/hyperlink" Id="rId14"/>
    <Relationship TargetMode="External" Target="https://www.legis.iowa.gov/docs/iac/chapter/481.203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