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481—2035.7</w:t>
      </w:r>
      <w:r>
        <w:rPr>
          <w:rFonts w:ascii="Times New Roman" w:hAnsi="Times New Roman"/>
          <w:b/>
          <w:i w:val="false"/>
          <w:color w:val="000000"/>
          <w:sz w:val="22"/>
        </w:rPr>
        <w:t xml:space="preserve">(543D) </w:t>
      </w:r>
      <w:r>
        <w:rPr>
          <w:rFonts w:ascii="Times New Roman" w:hAnsi="Times New Roman"/>
          <w:b/>
          <w:i w:val="false"/>
          <w:color w:val="000000"/>
          <w:sz w:val="22"/>
        </w:rPr>
        <w:t xml:space="preserve">PAREA. </w:t>
      </w:r>
      <w:r>
        <w:rPr>
          <w:rFonts w:ascii="Times New Roman" w:hAnsi="Times New Roman"/>
          <w:b w:val="false"/>
          <w:i w:val="false"/>
          <w:color w:val="000000"/>
          <w:sz w:val="22"/>
        </w:rPr>
        <w:t>PAREA utilizes simulated experience training and serves as an alternative to the traditional supervisor/trainee experience model. PAREA programs have to be AQB-approved and meet all the applicable AQB criteria. An applicant who meets the prerequisites of a PAREA program prior to commencement of training and who receives a valid certificate of completion from an AQB-approved PAREA program, has met the allotted experience obligations as outlined in the AQB criteria for that specific PAREA program. PAREA program experience allotment will be awarded per the AQB criteria at the time of program completion.</w:t>
      </w:r>
    </w:p>
    <w:p>
      <w:pPr>
        <w:spacing w:before="0" w:after="0"/>
        <w:ind w:left="120"/>
        <w:jc w:val="both"/>
      </w:pPr>
      <w:r>
        <w:rPr>
          <w:rFonts w:ascii="Times New Roman" w:hAnsi="Times New Roman"/>
          <w:b w:val="false"/>
          <w:i w:val="false"/>
          <w:color w:val="000000"/>
          <w:sz w:val="22"/>
        </w:rPr>
        <w:t xml:space="preserve">Applicants claiming PAREA experience credit are not allowed partial credit for PAREA training (rules </w:t>
      </w:r>
      <w:hyperlink r:id="rId4">
        <w:r>
          <w:rPr>
            <w:rStyle w:val="Hyperlink"/>
            <w:rFonts w:ascii="Times New Roman" w:hAnsi="Times New Roman"/>
            <w:b w:val="false"/>
            <w:i w:val="false"/>
            <w:color w:val="000000"/>
            <w:sz w:val="22"/>
          </w:rPr>
          <w:t>481—2035.1</w:t>
        </w:r>
      </w:hyperlink>
      <w:r>
        <w:rPr>
          <w:rFonts w:ascii="Times New Roman" w:hAnsi="Times New Roman"/>
          <w:b w:val="false"/>
          <w:i w:val="false"/>
          <w:color w:val="000000"/>
          <w:sz w:val="22"/>
        </w:rPr>
        <w:t xml:space="preserve">(543D) through </w:t>
      </w:r>
      <w:hyperlink r:id="rId5">
        <w:r>
          <w:rPr>
            <w:rStyle w:val="Hyperlink"/>
            <w:rFonts w:ascii="Times New Roman" w:hAnsi="Times New Roman"/>
            <w:b w:val="false"/>
            <w:i w:val="false"/>
            <w:color w:val="000000"/>
            <w:sz w:val="22"/>
          </w:rPr>
          <w:t>481—2035.7</w:t>
        </w:r>
      </w:hyperlink>
      <w:r>
        <w:rPr>
          <w:rFonts w:ascii="Times New Roman" w:hAnsi="Times New Roman"/>
          <w:b w:val="false"/>
          <w:i w:val="false"/>
          <w:color w:val="000000"/>
          <w:sz w:val="22"/>
        </w:rPr>
        <w:t>(543D)).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35.1.pdf" Type="http://schemas.openxmlformats.org/officeDocument/2006/relationships/hyperlink" Id="rId4"/>
    <Relationship TargetMode="External" Target="https://www.legis.iowa.gov/docs/iac/rule/481.2035.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