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481—2035.6</w:t>
      </w:r>
      <w:r>
        <w:rPr>
          <w:rFonts w:ascii="Times New Roman" w:hAnsi="Times New Roman"/>
          <w:b/>
          <w:i w:val="false"/>
          <w:color w:val="000000"/>
          <w:sz w:val="22"/>
        </w:rPr>
        <w:t xml:space="preserve">(543D) </w:t>
      </w:r>
      <w:r>
        <w:rPr>
          <w:rFonts w:ascii="Times New Roman" w:hAnsi="Times New Roman"/>
          <w:b/>
          <w:i w:val="false"/>
          <w:color w:val="000000"/>
          <w:sz w:val="22"/>
        </w:rPr>
        <w:t xml:space="preserve">Work product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2035.6(1)</w:t>
      </w:r>
      <w:r>
        <w:rPr>
          <w:rFonts w:ascii="Times New Roman" w:hAnsi="Times New Roman"/>
          <w:b w:val="false"/>
          <w:i w:val="false"/>
          <w:color w:val="000000"/>
          <w:sz w:val="22"/>
        </w:rPr>
        <w:t> </w:t>
      </w:r>
      <w:r>
        <w:rPr>
          <w:rFonts w:ascii="Times New Roman" w:hAnsi="Times New Roman"/>
          <w:b w:val="false"/>
          <w:i w:val="false"/>
          <w:color w:val="000000"/>
          <w:sz w:val="22"/>
        </w:rPr>
        <w:t>An applicant will submit a complete appraisal log at the time of application for examination and experience consistent with the AQB criteria. Three appraisal reports will be selected by the board from the log. The applicant will submit electronically one copy of each report and work file for each of the selected appraisals along with the appropriate fee. The work product submission will not be redacted by the applicant. The board reserves the right to request additional appraisals if those submitted by the applicant raise issues concerning the applicant’s competency or compliance with applicable appraisal standards or the degree to which the submitted appraisals are representative of the applicant’s work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2035.6(2)</w:t>
      </w:r>
      <w:r>
        <w:rPr>
          <w:rFonts w:ascii="Times New Roman" w:hAnsi="Times New Roman"/>
          <w:b w:val="false"/>
          <w:i w:val="false"/>
          <w:color w:val="000000"/>
          <w:sz w:val="22"/>
        </w:rPr>
        <w:t> </w:t>
      </w:r>
      <w:r>
        <w:rPr>
          <w:rFonts w:ascii="Times New Roman" w:hAnsi="Times New Roman"/>
          <w:b w:val="false"/>
          <w:i w:val="false"/>
          <w:color w:val="000000"/>
          <w:sz w:val="22"/>
        </w:rPr>
        <w:t>The board will treat all appraisals received as confidential pursuant to USPAP. While applicants are encouraged to submit appraisals actually performed for clients, applicants may submit demonstration appraisals if based on factual information and clearly marked as demonstration appraisals.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2035.6(3)</w:t>
      </w:r>
      <w:r>
        <w:rPr>
          <w:rFonts w:ascii="Times New Roman" w:hAnsi="Times New Roman"/>
          <w:b w:val="false"/>
          <w:i w:val="false"/>
          <w:color w:val="000000"/>
          <w:sz w:val="22"/>
        </w:rPr>
        <w:t> </w:t>
      </w:r>
      <w:r>
        <w:rPr>
          <w:rFonts w:ascii="Times New Roman" w:hAnsi="Times New Roman"/>
          <w:b w:val="false"/>
          <w:i w:val="false"/>
          <w:color w:val="000000"/>
          <w:sz w:val="22"/>
        </w:rPr>
        <w:t>An applicant seeking original certification as a certified general real estate appraiser will submit one residential appraisal and two nonresidential appraisals for review. An applicant seeking an upgrade certification to a certified general real estate appraiser will submit two nonresidential appraisals for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2035.6(4)</w:t>
      </w:r>
      <w:r>
        <w:rPr>
          <w:rFonts w:ascii="Times New Roman" w:hAnsi="Times New Roman"/>
          <w:b w:val="false"/>
          <w:i w:val="false"/>
          <w:color w:val="000000"/>
          <w:sz w:val="22"/>
        </w:rPr>
        <w:t> </w:t>
      </w:r>
      <w:r>
        <w:rPr>
          <w:rFonts w:ascii="Times New Roman" w:hAnsi="Times New Roman"/>
          <w:b w:val="false"/>
          <w:i w:val="false"/>
          <w:color w:val="000000"/>
          <w:sz w:val="22"/>
        </w:rPr>
        <w:t>The board will submit the appraisals to a peer review consultant for an opinion on the appraiser’s compliance with applicable appraisal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2035.6(5)</w:t>
      </w:r>
      <w:r>
        <w:rPr>
          <w:rFonts w:ascii="Times New Roman" w:hAnsi="Times New Roman"/>
          <w:b w:val="false"/>
          <w:i w:val="false"/>
          <w:color w:val="000000"/>
          <w:sz w:val="22"/>
        </w:rPr>
        <w:t> </w:t>
      </w:r>
      <w:r>
        <w:rPr>
          <w:rFonts w:ascii="Times New Roman" w:hAnsi="Times New Roman"/>
          <w:b w:val="false"/>
          <w:i w:val="false"/>
          <w:color w:val="000000"/>
          <w:sz w:val="22"/>
        </w:rPr>
        <w:t>The work product review process is not intended as an endorsement of an applicant’s work product. No applicant or appraiser will represent the results of work product review in communications with a client or in marketing to potential clients in a manner that falsely portrays the board’s work product review as an endorsement of the appraiser or the appraiser’s work product. Failure to comply may be grounds for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2035.6(6)</w:t>
      </w:r>
      <w:r>
        <w:rPr>
          <w:rFonts w:ascii="Times New Roman" w:hAnsi="Times New Roman"/>
          <w:b w:val="false"/>
          <w:i w:val="false"/>
          <w:color w:val="000000"/>
          <w:sz w:val="22"/>
        </w:rPr>
        <w:t> </w:t>
      </w:r>
      <w:r>
        <w:rPr>
          <w:rFonts w:ascii="Times New Roman" w:hAnsi="Times New Roman"/>
          <w:b w:val="false"/>
          <w:i w:val="false"/>
          <w:color w:val="000000"/>
          <w:sz w:val="22"/>
        </w:rPr>
        <w:t>The board views work product review, in part, as an educational process. While the board may deny an application based on an applicant’s failure to adhere to appraisal standards or otherwise demonstrate a level of competency upon which the public interest can be protected, the board will attempt to work with applicants deemed in need of assistance to arrive at a mutually agreeable remedial plan. A remedial plan may include additional education, desk review, a mentoring program, or additional precertification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2035.6(7)</w:t>
      </w:r>
      <w:r>
        <w:rPr>
          <w:rFonts w:ascii="Times New Roman" w:hAnsi="Times New Roman"/>
          <w:b w:val="false"/>
          <w:i w:val="false"/>
          <w:color w:val="000000"/>
          <w:sz w:val="22"/>
        </w:rPr>
        <w:t> </w:t>
      </w:r>
      <w:r>
        <w:rPr>
          <w:rFonts w:ascii="Times New Roman" w:hAnsi="Times New Roman"/>
          <w:b w:val="false"/>
          <w:i w:val="false"/>
          <w:color w:val="000000"/>
          <w:sz w:val="22"/>
        </w:rPr>
        <w:t>An applicant who is denied certification based on the work product review described in this rule, or on any other ground, will be entitled to a contested case hearing. Notice of denial will specify the grounds for denial, which may include any of the work performance-related grounds for discipline against a certified appraiser.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2035.6(8)</w:t>
      </w:r>
      <w:r>
        <w:rPr>
          <w:rFonts w:ascii="Times New Roman" w:hAnsi="Times New Roman"/>
          <w:b w:val="false"/>
          <w:i w:val="false"/>
          <w:color w:val="000000"/>
          <w:sz w:val="22"/>
        </w:rPr>
        <w:t> </w:t>
      </w:r>
      <w:r>
        <w:rPr>
          <w:rFonts w:ascii="Times New Roman" w:hAnsi="Times New Roman"/>
          <w:b w:val="false"/>
          <w:i w:val="false"/>
          <w:color w:val="000000"/>
          <w:sz w:val="22"/>
        </w:rPr>
        <w:t>If probable cause exists, the board may open a disciplinary investigation based on the work product review of an applicant. A potential disciplinary action could arise, for example, if the applicant is a certified residential real estate appraiser seeking an upgrade to a certified general real estate appraiser, or where the applicant is uncertified and is working under the supervision of a certified real estate appraiser who cosigned the appraisal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2035.6(9)</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accumulating a minimum of 500 hours of appraisal experience, an applicant may voluntarily submit work product to the board to be reviewed by a peer reviewer for educational purposes only. A maximum of three reports may be submitted for review during the experience portion of the certification process. Work product submitted for educational purposes only will not result in disciplinary action on either the associate appraiser or the associate appraiser’s supervisor so long as the appraisal review did not reveal negligent or egregious errors or omissions. The fee for voluntary submissions of work product for review is provided in </w:t>
      </w:r>
      <w:hyperlink r:id="rId4">
        <w:r>
          <w:rPr>
            <w:rStyle w:val="Hyperlink"/>
            <w:rFonts w:ascii="Times New Roman" w:hAnsi="Times New Roman"/>
            <w:b w:val="false"/>
            <w:i w:val="false"/>
            <w:color w:val="000000"/>
            <w:sz w:val="22"/>
          </w:rPr>
          <w:t>481—Chapter 2041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2035.6(10)</w:t>
      </w:r>
      <w:r>
        <w:rPr>
          <w:rFonts w:ascii="Times New Roman" w:hAnsi="Times New Roman"/>
          <w:b w:val="false"/>
          <w:i w:val="false"/>
          <w:color w:val="000000"/>
          <w:sz w:val="22"/>
        </w:rPr>
        <w:t> </w:t>
      </w:r>
      <w:r>
        <w:rPr>
          <w:rFonts w:ascii="Times New Roman" w:hAnsi="Times New Roman"/>
          <w:b w:val="false"/>
          <w:i w:val="false"/>
          <w:color w:val="000000"/>
          <w:sz w:val="22"/>
        </w:rPr>
        <w:t>The board will retain the appraisals for as long as needed as documentation of the board’s actions for the Appraisal Subcommittee or as needed in a pending proceeding involving the work product of the applicant or the applicant’s supervisor. When no longer needed for such purposes, the work product may be retained or destroyed at the board’s discretion.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204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