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481—2035.4</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Supervised experience needed for initial certification. </w:t>
      </w:r>
      <w:r>
        <w:rPr>
          <w:rFonts w:ascii="Times New Roman" w:hAnsi="Times New Roman"/>
          <w:b w:val="false"/>
          <w:i w:val="false"/>
          <w:color w:val="000000"/>
          <w:sz w:val="22"/>
        </w:rPr>
        <w:t xml:space="preserve">Except as otherwise permitted herein, all experience needed to obtain certification has to be obtained consistent with Iowa Code section </w:t>
      </w:r>
      <w:hyperlink r:id="rId4">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2035.4(1)</w:t>
      </w:r>
      <w:r>
        <w:rPr>
          <w:rFonts w:ascii="Times New Roman" w:hAnsi="Times New Roman"/>
          <w:b w:val="false"/>
          <w:i w:val="false"/>
          <w:color w:val="000000"/>
          <w:sz w:val="22"/>
        </w:rPr>
        <w:t> </w:t>
      </w:r>
      <w:r>
        <w:rPr>
          <w:rFonts w:ascii="Times New Roman" w:hAnsi="Times New Roman"/>
          <w:b w:val="false"/>
          <w:i/>
          <w:color w:val="000000"/>
          <w:sz w:val="22"/>
        </w:rPr>
        <w:t xml:space="preserve">Acceptable experience. </w:t>
      </w:r>
      <w:r>
        <w:rPr>
          <w:rFonts w:ascii="Times New Roman" w:hAnsi="Times New Roman"/>
          <w:b w:val="false"/>
          <w:i w:val="false"/>
          <w:color w:val="000000"/>
          <w:sz w:val="22"/>
        </w:rPr>
        <w:t>The board will accept as qualifying experience the documented experience attained while the applicant for initial certification was in an educational program recognized by the Appraiser Qualifications Board and Appraisal Subcommittee as providing qualifying experience for certification, whether or not the applicant was registered as an associate real estate appraiser at the time the educational program was completed. Such programs approved by federal authorities (e.g., practical applications of real estate appraisal (PAREA)) will incorporate direct supervision by a certified real estate appraiser and such additional program features as to satisfy the purpose of requiring that qualifying experience be attained by the applicant as a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Applicants for certified real estate appraiser certification in Iowa may utilize experience obtained in the absence of registration as an associate real estate appraiser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any obligations or limitations established by applicable federal authorities, including the AQB and appraisal subcommittee (ASC), or applicable federal law, rule, or policy, hours qualifying for experience in any jurisdiction will be considered qualifying hours for experience in Iowa without board approval or authorization, as long as the applicant is able to establish by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qualifying hours obtained were completed in another jurisdiction under the direct supervision of an appropriate active certified real estate appraiser in that jurisdiction in accordance with the AQB and the jurisdiction’s laws, rules, or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of the experience attained in another jurisdiction is qualitatively and substantially equivalent to the experience an associate real estate appraiser would receive under the direct supervision of a certified real estate appraiser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