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481—2035.3</w:t>
      </w:r>
      <w:r>
        <w:rPr>
          <w:rFonts w:ascii="Times New Roman" w:hAnsi="Times New Roman"/>
          <w:b/>
          <w:i w:val="false"/>
          <w:color w:val="000000"/>
          <w:sz w:val="22"/>
        </w:rPr>
        <w:t xml:space="preserve">(543D) </w:t>
      </w:r>
      <w:r>
        <w:rPr>
          <w:rFonts w:ascii="Times New Roman" w:hAnsi="Times New Roman"/>
          <w:b/>
          <w:i w:val="false"/>
          <w:color w:val="000000"/>
          <w:sz w:val="22"/>
        </w:rPr>
        <w:t xml:space="preserve">Examination. </w:t>
      </w:r>
      <w:r>
        <w:rPr>
          <w:rFonts w:ascii="Times New Roman" w:hAnsi="Times New Roman"/>
          <w:b w:val="false"/>
          <w:i w:val="false"/>
          <w:color w:val="000000"/>
          <w:sz w:val="22"/>
        </w:rPr>
        <w:t>The prerequisites for taking the AQB-approved examination are collegiate education, experience, work product review, and completion of all creditable course hours as specified in this chapter. The core criteria hours, collegiate education, and all experience have to be completed as specified in this chapter. Equivalency will be determined in accordance with the AQB. USPAP qualifying education will be awarded only when the class is instructed by at least one AQB-certified USPAP instructor who holds a state-issued certified appraiser credential in active status and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2035.3(1)</w:t>
      </w:r>
      <w:r>
        <w:rPr>
          <w:rFonts w:ascii="Times New Roman" w:hAnsi="Times New Roman"/>
          <w:b w:val="false"/>
          <w:i w:val="false"/>
          <w:color w:val="000000"/>
          <w:sz w:val="22"/>
        </w:rPr>
        <w:t> </w:t>
      </w:r>
      <w:r>
        <w:rPr>
          <w:rFonts w:ascii="Times New Roman" w:hAnsi="Times New Roman"/>
          <w:b w:val="false"/>
          <w:i w:val="false"/>
          <w:color w:val="000000"/>
          <w:sz w:val="22"/>
        </w:rPr>
        <w:t>In order to qualify to sit for the appropriate certified real estate appraiser examination, the applicant has to complete the board’s application form and provide copies of documentation of completion of all courses claimed that qualify the applicant to sit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sufficient application within the meaning of Iowa Code section </w:t>
      </w:r>
      <w:hyperlink r:id="rId4">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xml:space="preserve"> has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through the board’s online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signed by the applicant, be certified as accurate, or display an electronic signature by the applicant if submitted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Reflect, on its face, full compliance with all applicable continuing education obligations;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Be accompanied by the fee specified in </w:t>
      </w:r>
      <w:hyperlink r:id="rId5">
        <w:r>
          <w:rPr>
            <w:rStyle w:val="Hyperlink"/>
            <w:rFonts w:ascii="Times New Roman" w:hAnsi="Times New Roman"/>
            <w:b w:val="false"/>
            <w:i w:val="false"/>
            <w:color w:val="000000"/>
            <w:sz w:val="22"/>
          </w:rPr>
          <w:t>481—Chapter 2041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core criteria, collegiate education, experience, and work product review have to be completed and documentation submitted to the board at the time of application to sit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2035.3(2)</w:t>
      </w:r>
      <w:r>
        <w:rPr>
          <w:rFonts w:ascii="Times New Roman" w:hAnsi="Times New Roman"/>
          <w:b w:val="false"/>
          <w:i w:val="false"/>
          <w:color w:val="000000"/>
          <w:sz w:val="22"/>
        </w:rPr>
        <w:t> </w:t>
      </w:r>
      <w:r>
        <w:rPr>
          <w:rFonts w:ascii="Times New Roman" w:hAnsi="Times New Roman"/>
          <w:b w:val="false"/>
          <w:i w:val="false"/>
          <w:color w:val="000000"/>
          <w:sz w:val="22"/>
        </w:rPr>
        <w:t>The board may verify educational credits claimed. Undocumented credits will be sufficient cause to invalidate the examination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2035.3(3)</w:t>
      </w:r>
      <w:r>
        <w:rPr>
          <w:rFonts w:ascii="Times New Roman" w:hAnsi="Times New Roman"/>
          <w:b w:val="false"/>
          <w:i w:val="false"/>
          <w:color w:val="000000"/>
          <w:sz w:val="22"/>
        </w:rPr>
        <w:t> </w:t>
      </w:r>
      <w:r>
        <w:rPr>
          <w:rFonts w:ascii="Times New Roman" w:hAnsi="Times New Roman"/>
          <w:b w:val="false"/>
          <w:i w:val="false"/>
          <w:color w:val="000000"/>
          <w:sz w:val="22"/>
        </w:rPr>
        <w:t>Responsibility for documenting the educational credits claimed rests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2035.3(4)</w:t>
      </w:r>
      <w:r>
        <w:rPr>
          <w:rFonts w:ascii="Times New Roman" w:hAnsi="Times New Roman"/>
          <w:b w:val="false"/>
          <w:i w:val="false"/>
          <w:color w:val="000000"/>
          <w:sz w:val="22"/>
        </w:rPr>
        <w:t> </w:t>
      </w:r>
      <w:r>
        <w:rPr>
          <w:rFonts w:ascii="Times New Roman" w:hAnsi="Times New Roman"/>
          <w:b w:val="false"/>
          <w:i w:val="false"/>
          <w:color w:val="000000"/>
          <w:sz w:val="22"/>
        </w:rPr>
        <w:t>An applicant has to supply a true and accurate copy of the original examination scores when applying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2035.3(5)</w:t>
      </w:r>
      <w:r>
        <w:rPr>
          <w:rFonts w:ascii="Times New Roman" w:hAnsi="Times New Roman"/>
          <w:b w:val="false"/>
          <w:i w:val="false"/>
          <w:color w:val="000000"/>
          <w:sz w:val="22"/>
        </w:rPr>
        <w:t> </w:t>
      </w:r>
      <w:r>
        <w:rPr>
          <w:rFonts w:ascii="Times New Roman" w:hAnsi="Times New Roman"/>
          <w:b w:val="false"/>
          <w:i w:val="false"/>
          <w:color w:val="000000"/>
          <w:sz w:val="22"/>
        </w:rPr>
        <w:t>If an applicant who has passed an examination does not obtain the related appraiser credential within 24 months after passing the examination, that examination result loses its validity to support issuance of an appraiser credential. To regain eligibility for the credential, the applicant has to retake and pass the examination. This obligation applies to individuals obtaining an initial certified credential or upgrading from an associate credential.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8.pdf" Type="http://schemas.openxmlformats.org/officeDocument/2006/relationships/hyperlink" Id="rId4"/>
    <Relationship TargetMode="External" Target="https://www.legis.iowa.gov/docs/iac/chapter/481.204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