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481—2034.6</w:t>
      </w:r>
      <w:r>
        <w:rPr>
          <w:rFonts w:ascii="Times New Roman" w:hAnsi="Times New Roman"/>
          <w:b/>
          <w:i w:val="false"/>
          <w:color w:val="000000"/>
          <w:sz w:val="22"/>
        </w:rPr>
        <w:t xml:space="preserve">(272C,543D) </w:t>
      </w:r>
      <w:r>
        <w:rPr>
          <w:rFonts w:ascii="Times New Roman" w:hAnsi="Times New Roman"/>
          <w:b/>
          <w:i w:val="false"/>
          <w:color w:val="000000"/>
          <w:sz w:val="22"/>
        </w:rPr>
        <w:t xml:space="preserve">Reinstating or reactivating an associate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2034.6(1)</w:t>
      </w:r>
      <w:r>
        <w:rPr>
          <w:rFonts w:ascii="Times New Roman" w:hAnsi="Times New Roman"/>
          <w:b w:val="false"/>
          <w:i w:val="false"/>
          <w:color w:val="000000"/>
          <w:sz w:val="22"/>
        </w:rPr>
        <w:t> </w:t>
      </w:r>
      <w:r>
        <w:rPr>
          <w:rFonts w:ascii="Times New Roman" w:hAnsi="Times New Roman"/>
          <w:b w:val="false"/>
          <w:i w:val="false"/>
          <w:color w:val="000000"/>
          <w:sz w:val="22"/>
        </w:rPr>
        <w:t>In order to reinstate or reactivate an associate registration that has lapsed or been placed in inactive or retired status, the applicant has to complete all continuing education obligations for reinstatement as required by board rule and the AQB criteria. Any qualifying education course taken under this rule as continuing education will also apply as qualifying education toward certification. If the applicant has completed all qualifying education prior to applying to reinstate a lapsed, retired, or inactive associate registration, the applicant may use any approved continuing education course as required by board rule and the AQB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2034.6(2)</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appraiser’s registration is placed in inactive status as a result of the appraiser’s failure to maintain at least one approved active supervisor meeting the obligations of this chapter pursuant to subrule </w:t>
      </w:r>
      <w:hyperlink r:id="rId4">
        <w:r>
          <w:rPr>
            <w:rStyle w:val="Hyperlink"/>
            <w:rFonts w:ascii="Times New Roman" w:hAnsi="Times New Roman"/>
            <w:b w:val="false"/>
            <w:i w:val="false"/>
            <w:color w:val="000000"/>
            <w:sz w:val="22"/>
          </w:rPr>
          <w:t>2034.2(2)</w:t>
        </w:r>
      </w:hyperlink>
      <w:r>
        <w:rPr>
          <w:rFonts w:ascii="Times New Roman" w:hAnsi="Times New Roman"/>
          <w:b w:val="false"/>
          <w:i w:val="false"/>
          <w:color w:val="000000"/>
          <w:sz w:val="22"/>
        </w:rPr>
        <w:t xml:space="preserve">, the applicant will complete the continuing education in accordance with subrule </w:t>
      </w:r>
      <w:hyperlink r:id="rId5">
        <w:r>
          <w:rPr>
            <w:rStyle w:val="Hyperlink"/>
            <w:rFonts w:ascii="Times New Roman" w:hAnsi="Times New Roman"/>
            <w:b w:val="false"/>
            <w:i w:val="false"/>
            <w:color w:val="000000"/>
            <w:sz w:val="22"/>
          </w:rPr>
          <w:t>2034.6(1)</w:t>
        </w:r>
      </w:hyperlink>
      <w:r>
        <w:rPr>
          <w:rFonts w:ascii="Times New Roman" w:hAnsi="Times New Roman"/>
          <w:b w:val="false"/>
          <w:i w:val="false"/>
          <w:color w:val="000000"/>
          <w:sz w:val="22"/>
        </w:rPr>
        <w:t xml:space="preserve"> in order to reinstate the associate registration but is not obligated to pay any reinstatement fee otherwise due so long as the associate has not renewed the registration to inactive status or allowed the registration to lapse prior to reinstating or reactivating the registration.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2034.2.pdf" Type="http://schemas.openxmlformats.org/officeDocument/2006/relationships/hyperlink" Id="rId4"/>
    <Relationship TargetMode="External" Target="https://www.legis.iowa.gov/docs/iac/rule/481.2034.6.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