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481—2034.2</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Supervision of associate appraisers.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2034.2(1)</w:t>
      </w: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An associate appraiser is subject to the direct supervision obligations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2034.2(2)</w:t>
      </w:r>
      <w:r>
        <w:rPr>
          <w:rFonts w:ascii="Times New Roman" w:hAnsi="Times New Roman"/>
          <w:b w:val="false"/>
          <w:i w:val="false"/>
          <w:color w:val="000000"/>
          <w:sz w:val="22"/>
        </w:rPr>
        <w:t> </w:t>
      </w:r>
      <w:r>
        <w:rPr>
          <w:rFonts w:ascii="Times New Roman" w:hAnsi="Times New Roman"/>
          <w:b w:val="false"/>
          <w:i/>
          <w:color w:val="000000"/>
          <w:sz w:val="22"/>
        </w:rPr>
        <w:t xml:space="preserve">Supervisor registration. </w:t>
      </w:r>
      <w:r>
        <w:rPr>
          <w:rFonts w:ascii="Times New Roman" w:hAnsi="Times New Roman"/>
          <w:b w:val="false"/>
          <w:i w:val="false"/>
          <w:color w:val="000000"/>
          <w:sz w:val="22"/>
        </w:rPr>
        <w:t>An associate appraiser, other than a PAREA associate, will identify all supervisors by whom the associate will be supervised through the board’s online system and will promptly notify the board in the event of any change in supervisors. An associate appraiser, other than a PAREA associate, who does not have at least one approved active supervisor meeting the supervision obligations will be placed in inactive status until such time as the associate finds a supervisor. Associate appraisers wishing to maintain an inactive license have to continue to renew on a biennial basis in accordance with rule 481— 2034.3(543D).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2034.2(3)</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for an associate appraiser is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2034.2(4)</w:t>
      </w:r>
      <w:r>
        <w:rPr>
          <w:rFonts w:ascii="Times New Roman" w:hAnsi="Times New Roman"/>
          <w:b w:val="false"/>
          <w:i w:val="false"/>
          <w:color w:val="000000"/>
          <w:sz w:val="22"/>
        </w:rPr>
        <w:t> </w:t>
      </w:r>
      <w:r>
        <w:rPr>
          <w:rFonts w:ascii="Times New Roman" w:hAnsi="Times New Roman"/>
          <w:b w:val="false"/>
          <w:i/>
          <w:color w:val="000000"/>
          <w:sz w:val="22"/>
        </w:rPr>
        <w:t xml:space="preserve">Logs. </w:t>
      </w:r>
      <w:r>
        <w:rPr>
          <w:rFonts w:ascii="Times New Roman" w:hAnsi="Times New Roman"/>
          <w:b w:val="false"/>
          <w:i w:val="false"/>
          <w:color w:val="000000"/>
          <w:sz w:val="22"/>
        </w:rPr>
        <w:t>An associate appraiser will maintain an appraisal experience log consistent with the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