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481—2034.1</w:t>
      </w:r>
      <w:r>
        <w:rPr>
          <w:rFonts w:ascii="Times New Roman" w:hAnsi="Times New Roman"/>
          <w:b/>
          <w:i w:val="false"/>
          <w:color w:val="000000"/>
          <w:sz w:val="22"/>
        </w:rPr>
        <w:t xml:space="preserve">(543D) </w:t>
      </w:r>
      <w:r>
        <w:rPr>
          <w:rFonts w:ascii="Times New Roman" w:hAnsi="Times New Roman"/>
          <w:b/>
          <w:i w:val="false"/>
          <w:color w:val="000000"/>
          <w:sz w:val="22"/>
        </w:rPr>
        <w:t xml:space="preserve">Qualifications to register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2034.1(1)</w:t>
      </w:r>
      <w:r>
        <w:rPr>
          <w:rFonts w:ascii="Times New Roman" w:hAnsi="Times New Roman"/>
          <w:b w:val="false"/>
          <w:i w:val="false"/>
          <w:color w:val="000000"/>
          <w:sz w:val="22"/>
        </w:rPr>
        <w:t> </w:t>
      </w:r>
      <w:r>
        <w:rPr>
          <w:rFonts w:ascii="Times New Roman" w:hAnsi="Times New Roman"/>
          <w:b w:val="false"/>
          <w:i/>
          <w:color w:val="000000"/>
          <w:sz w:val="22"/>
        </w:rPr>
        <w:t xml:space="preserve">Education. </w:t>
      </w:r>
      <w:r>
        <w:rPr>
          <w:rFonts w:ascii="Times New Roman" w:hAnsi="Times New Roman"/>
          <w:b w:val="false"/>
          <w:i w:val="false"/>
          <w:color w:val="000000"/>
          <w:sz w:val="22"/>
        </w:rPr>
        <w:t xml:space="preserve">A person applying for registration as an associate appraiser will, at a minimum, satisfactorily complete all AQB-approved, qualifying education courses needed under the AQB criteria specifying educational standards applicable for registration as an associate appraiser.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2034.1(2)</w:t>
      </w:r>
      <w:r>
        <w:rPr>
          <w:rFonts w:ascii="Times New Roman" w:hAnsi="Times New Roman"/>
          <w:b w:val="false"/>
          <w:i w:val="false"/>
          <w:color w:val="000000"/>
          <w:sz w:val="22"/>
        </w:rPr>
        <w:t> </w:t>
      </w:r>
      <w:r>
        <w:rPr>
          <w:rFonts w:ascii="Times New Roman" w:hAnsi="Times New Roman"/>
          <w:b w:val="false"/>
          <w:i/>
          <w:color w:val="000000"/>
          <w:sz w:val="22"/>
        </w:rPr>
        <w:t xml:space="preserve">Background check. </w:t>
      </w:r>
      <w:r>
        <w:rPr>
          <w:rFonts w:ascii="Times New Roman" w:hAnsi="Times New Roman"/>
          <w:b w:val="false"/>
          <w:i w:val="false"/>
          <w:color w:val="000000"/>
          <w:sz w:val="22"/>
        </w:rPr>
        <w:t>A state and national criminal history check will be performed on any new associate appraiser applicant. The applicant will authorize release of the results of the criminal history check to the board. If the criminal history check was not completed within 180 calendar days prior to the date the license application is received by the board, the board may perform a new state and national criminal history check or may reject and return the application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2034.1(3)</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 xml:space="preserve">After completing the AQB associate appraiser obligations, a person applying as an associate appraiser can then access the application through the board’s online system. A sufficient application within the meaning of Iowa Code section </w:t>
      </w:r>
      <w:hyperlink r:id="rId4">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xml:space="preserve"> will include all information as outlined in the board’s online system and be accompanied by the applicable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2034.1(4)</w:t>
      </w:r>
      <w:r>
        <w:rPr>
          <w:rFonts w:ascii="Times New Roman" w:hAnsi="Times New Roman"/>
          <w:b w:val="false"/>
          <w:i w:val="false"/>
          <w:color w:val="000000"/>
          <w:sz w:val="22"/>
        </w:rPr>
        <w:t> </w:t>
      </w:r>
      <w:r>
        <w:rPr>
          <w:rFonts w:ascii="Times New Roman" w:hAnsi="Times New Roman"/>
          <w:b w:val="false"/>
          <w:i/>
          <w:color w:val="000000"/>
          <w:sz w:val="22"/>
        </w:rPr>
        <w:t xml:space="preserve">Registration denial. </w:t>
      </w:r>
      <w:r>
        <w:rPr>
          <w:rFonts w:ascii="Times New Roman" w:hAnsi="Times New Roman"/>
          <w:b w:val="false"/>
          <w:i w:val="false"/>
          <w:color w:val="000000"/>
          <w:sz w:val="22"/>
        </w:rPr>
        <w:t xml:space="preserve">The board may deny an application for registration as an associate appraiser on any ground identified in </w:t>
      </w:r>
      <w:hyperlink r:id="rId5">
        <w:r>
          <w:rPr>
            <w:rStyle w:val="Hyperlink"/>
            <w:rFonts w:ascii="Times New Roman" w:hAnsi="Times New Roman"/>
            <w:b w:val="false"/>
            <w:i w:val="false"/>
            <w:color w:val="000000"/>
            <w:sz w:val="22"/>
          </w:rPr>
          <w:t>481—subrule 2033.4(1)</w:t>
        </w:r>
      </w:hyperlink>
      <w:r>
        <w:rPr>
          <w:rFonts w:ascii="Times New Roman" w:hAnsi="Times New Roman"/>
          <w:b w:val="false"/>
          <w:i w:val="false"/>
          <w:color w:val="000000"/>
          <w:sz w:val="22"/>
        </w:rPr>
        <w:t xml:space="preserve"> or on any ground upon which the board may impose discipline against an associate appraiser, as provided in </w:t>
      </w:r>
      <w:hyperlink r:id="rId6">
        <w:r>
          <w:rPr>
            <w:rStyle w:val="Hyperlink"/>
            <w:rFonts w:ascii="Times New Roman" w:hAnsi="Times New Roman"/>
            <w:b w:val="false"/>
            <w:i w:val="false"/>
            <w:color w:val="000000"/>
            <w:sz w:val="22"/>
          </w:rPr>
          <w:t>481—Chapter 2036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8.pdf" Type="http://schemas.openxmlformats.org/officeDocument/2006/relationships/hyperlink" Id="rId4"/>
    <Relationship TargetMode="External" Target="https://www.legis.iowa.gov/docs/iac/rule/481.2033.4.pdf" Type="http://schemas.openxmlformats.org/officeDocument/2006/relationships/hyperlink" Id="rId5"/>
    <Relationship TargetMode="External" Target="https://www.legis.iowa.gov/docs/iac/chapter/481.203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