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481—2021.9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Enforcement options.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addition, or as an alternative, to the administrative process described in these rules, the commission may seek an injunction in district court, enter into a consent agreement with the unlicensed person, or issue an informal cautionary letter.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