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481—2021.8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Factors to consider.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commission may consider the following when determining the amount of civil penalty to impose, if any: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Whether the amount imposed will be a substantial economic deterrent to the violation.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circumstances leading to the violation.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severity of the violation and the risk of harm to the public.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economic benefits gained by the violator as a result of noncompliance.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interest of the public.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6.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time lapsed since the unlawful practice occurred.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7.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Evidence of reform or remedial actions.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8.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Whether the violation is a repeat offense following a prior warning letter or other notice of the nature of the infraction.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9.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Whether the violation involved an element of deception.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10.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Whether the unlawful practice violated a prior order of the commission, court order, cease and desist agreement, consent order, or similar document.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clarity of the issue involved.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Whether the violation was willful and intentional.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Whether the unlicensed person acted in bad faith.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extent to which the unlicensed person cooperated with the commission.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7783C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