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481—2021.5</w:t>
      </w:r>
      <w:r>
        <w:rPr>
          <w:rFonts w:ascii="Times New Roman" w:hAnsi="Times New Roman"/>
          <w:b/>
          <w:i w:val="false"/>
          <w:color w:val="000000"/>
          <w:sz w:val="22"/>
        </w:rPr>
        <w:t xml:space="preserve">(17A,543B) </w:t>
      </w:r>
      <w:r>
        <w:rPr>
          <w:rFonts w:ascii="Times New Roman" w:hAnsi="Times New Roman"/>
          <w:b/>
          <w:i w:val="false"/>
          <w:color w:val="000000"/>
          <w:sz w:val="22"/>
        </w:rPr>
        <w:t xml:space="preserve">Notice of intent to impose civil penalty. </w:t>
      </w:r>
      <w:r>
        <w:rPr>
          <w:rFonts w:ascii="Times New Roman" w:hAnsi="Times New Roman"/>
          <w:b w:val="false"/>
          <w:i w:val="false"/>
          <w:color w:val="000000"/>
          <w:sz w:val="22"/>
        </w:rPr>
        <w:t>Prior to issuing a cease and desist order and imposing a civil penalty against an unlicensed person, the commission provides the unlicensed person written notice and the opportunity to request a contested case hearing. Notice of the commission’s intent to issue a cease and desist order and to impose a civil penalty are served by certified mail, return receipt requested, or personal service in accordance with Iowa Rule of Civil Procedure 1.305. Alternatively, the unlicensed person may accept service personally or through authorized counsel. The notice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proposed cease and desist order would be issued and the civil penalty would be imposed.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dollar amount of the proposed civil penalty and the nature of the intended order to obligate compliance with Iowa Code chapter </w:t>
      </w:r>
      <w:hyperlink r:id="rId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Notice of the unlicensed person’s right to a hearing and the time frame in which hearing is requested.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address to which written request for hearing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