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481—2019.6</w:t>
      </w:r>
      <w:r>
        <w:rPr>
          <w:rFonts w:ascii="Times New Roman" w:hAnsi="Times New Roman"/>
          <w:b/>
          <w:i w:val="false"/>
          <w:color w:val="000000"/>
          <w:sz w:val="22"/>
        </w:rPr>
        <w:t xml:space="preserve">(543B)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2019.6(1)</w:t>
      </w:r>
      <w:r>
        <w:rPr>
          <w:rFonts w:ascii="Times New Roman" w:hAnsi="Times New Roman"/>
          <w:b w:val="false"/>
          <w:i w:val="false"/>
          <w:color w:val="000000"/>
          <w:sz w:val="22"/>
        </w:rPr>
        <w:t> </w:t>
      </w:r>
      <w:r>
        <w:rPr>
          <w:rFonts w:ascii="Times New Roman" w:hAnsi="Times New Roman"/>
          <w:b w:val="false"/>
          <w:i w:val="false"/>
          <w:color w:val="000000"/>
          <w:sz w:val="22"/>
        </w:rPr>
        <w:t>The commission needs receipt of proof of errors and omissions insurance from new licensees before the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2019.6(2)</w:t>
      </w:r>
      <w:r>
        <w:rPr>
          <w:rFonts w:ascii="Times New Roman" w:hAnsi="Times New Roman"/>
          <w:b w:val="false"/>
          <w:i w:val="false"/>
          <w:color w:val="000000"/>
          <w:sz w:val="22"/>
        </w:rPr>
        <w:t> </w:t>
      </w:r>
      <w:r>
        <w:rPr>
          <w:rFonts w:ascii="Times New Roman" w:hAnsi="Times New Roman"/>
          <w:b w:val="false"/>
          <w:i w:val="false"/>
          <w:color w:val="000000"/>
          <w:sz w:val="22"/>
        </w:rPr>
        <w:t>The commission needs receipt of proof of errors and omissions insurance from the applicant before reinstating an expired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2019.6(3)</w:t>
      </w:r>
      <w:r>
        <w:rPr>
          <w:rFonts w:ascii="Times New Roman" w:hAnsi="Times New Roman"/>
          <w:b w:val="false"/>
          <w:i w:val="false"/>
          <w:color w:val="000000"/>
          <w:sz w:val="22"/>
        </w:rPr>
        <w:t> </w:t>
      </w:r>
      <w:r>
        <w:rPr>
          <w:rFonts w:ascii="Times New Roman" w:hAnsi="Times New Roman"/>
          <w:b w:val="false"/>
          <w:i w:val="false"/>
          <w:color w:val="000000"/>
          <w:sz w:val="22"/>
        </w:rPr>
        <w:t>The commission needs receipt of proof of errors and omissions insurance before reactivating an inactive status license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2019.6(4)</w:t>
      </w:r>
      <w:r>
        <w:rPr>
          <w:rFonts w:ascii="Times New Roman" w:hAnsi="Times New Roman"/>
          <w:b w:val="false"/>
          <w:i w:val="false"/>
          <w:color w:val="000000"/>
          <w:sz w:val="22"/>
        </w:rPr>
        <w:t> </w:t>
      </w:r>
      <w:r>
        <w:rPr>
          <w:rFonts w:ascii="Times New Roman" w:hAnsi="Times New Roman"/>
          <w:b w:val="false"/>
          <w:i w:val="false"/>
          <w:color w:val="000000"/>
          <w:sz w:val="22"/>
        </w:rPr>
        <w:t>Applicants for license renewal need to attest and certify that they have current errors and omissions insurance in effect that meets Iowa insurance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verify by random audit or on a test basis the insurance compliance attested to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participating in the state group program cannot be audited if commission records indicate the insurance carrier or program manager has submitted current proof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with other insurance coverage cannot be audited if commission records indicate the current proof of coverage has been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may randomly audit by any factor as will provide a reasonable sampling given the volume, purpose and scope of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 may randomly audit as the result of any complaint filed with the commission whether or not adequate insurance coverage was questioned in the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commission may audit compliance with insurance coverage at any time the commission has reasonable cause to question a licensee’s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2019.6(5)</w:t>
      </w:r>
      <w:r>
        <w:rPr>
          <w:rFonts w:ascii="Times New Roman" w:hAnsi="Times New Roman"/>
          <w:b w:val="false"/>
          <w:i w:val="false"/>
          <w:color w:val="000000"/>
          <w:sz w:val="22"/>
        </w:rPr>
        <w:t> </w:t>
      </w:r>
      <w:r>
        <w:rPr>
          <w:rFonts w:ascii="Times New Roman" w:hAnsi="Times New Roman"/>
          <w:b w:val="false"/>
          <w:i w:val="false"/>
          <w:color w:val="000000"/>
          <w:sz w:val="22"/>
        </w:rPr>
        <w:t>A licensee is needed to carry insurance on an uninterrupted basis and cannot avoid discipline simply by acquiring insurance after receipt of an audit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Iowa Code section </w:t>
      </w:r>
      <w:hyperlink r:id="rId4">
        <w:r>
          <w:rPr>
            <w:rStyle w:val="Hyperlink"/>
            <w:rFonts w:ascii="Times New Roman" w:hAnsi="Times New Roman"/>
            <w:b w:val="false"/>
            <w:i w:val="false"/>
            <w:color w:val="000000"/>
            <w:sz w:val="22"/>
          </w:rPr>
          <w:t>543B.47(6)</w:t>
        </w:r>
      </w:hyperlink>
      <w:r>
        <w:rPr>
          <w:rFonts w:ascii="Times New Roman" w:hAnsi="Times New Roman"/>
          <w:b w:val="false"/>
          <w:i w:val="false"/>
          <w:color w:val="000000"/>
          <w:sz w:val="22"/>
        </w:rPr>
        <w:t xml:space="preserve"> within 20 calendar days of the commission’s request is prima facie evidence of a violation of Iowa Code sections </w:t>
      </w:r>
      <w:hyperlink r:id="rId5">
        <w:r>
          <w:rPr>
            <w:rStyle w:val="Hyperlink"/>
            <w:rFonts w:ascii="Times New Roman" w:hAnsi="Times New Roman"/>
            <w:b w:val="false"/>
            <w:i w:val="false"/>
            <w:color w:val="000000"/>
            <w:sz w:val="22"/>
          </w:rPr>
          <w:t>543B.15(5)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543B.47(1)</w:t>
        </w:r>
      </w:hyperlink>
      <w:r>
        <w:rPr>
          <w:rFonts w:ascii="Times New Roman" w:hAnsi="Times New Roman"/>
          <w:b w:val="false"/>
          <w:i w:val="false"/>
          <w:color w:val="000000"/>
          <w:sz w:val="22"/>
        </w:rPr>
        <w:t xml:space="preserve"> and is grounds for the denial of an application for licensure, the denial of an application to renew a license, or the suspension or revocation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2019.6(7)</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Submitting false documentation of insurance coverage, or falsely claiming to have or attesting to having insurance coverage, is prima facie evidence of violation of Iowa Code sections </w:t>
      </w:r>
      <w:hyperlink r:id="rId7">
        <w:r>
          <w:rPr>
            <w:rStyle w:val="Hyperlink"/>
            <w:rFonts w:ascii="Times New Roman" w:hAnsi="Times New Roman"/>
            <w:b w:val="false"/>
            <w:i w:val="false"/>
            <w:color w:val="000000"/>
            <w:sz w:val="22"/>
          </w:rPr>
          <w:t>543B.29(1)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543B.34(1)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2019.6(8)</w:t>
      </w:r>
      <w:r>
        <w:rPr>
          <w:rFonts w:ascii="Times New Roman" w:hAnsi="Times New Roman"/>
          <w:b w:val="false"/>
          <w:i w:val="false"/>
          <w:color w:val="000000"/>
          <w:sz w:val="22"/>
        </w:rPr>
        <w:t> </w:t>
      </w:r>
      <w:r>
        <w:rPr>
          <w:rFonts w:ascii="Times New Roman" w:hAnsi="Times New Roman"/>
          <w:b w:val="false"/>
          <w:i w:val="false"/>
          <w:color w:val="000000"/>
          <w:sz w:val="22"/>
        </w:rPr>
        <w:t>Failure to provide required proof of insurability within 30 days of written notice by the commission results in the placement of the license on inactive status. A license that has been placed on inactive status pursuant to this provision is not reactivated until satisfactory evidence has been provided verifying that coverage is current and in full force and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47.pdf" Type="http://schemas.openxmlformats.org/officeDocument/2006/relationships/hyperlink" Id="rId4"/>
    <Relationship TargetMode="External" Target="https://www.legis.iowa.gov/docs/ico/chapter/543B.15.pdf" Type="http://schemas.openxmlformats.org/officeDocument/2006/relationships/hyperlink" Id="rId5"/>
    <Relationship TargetMode="External" Target="https://www.legis.iowa.gov/docs/ico/chapter/543B.47.pdf" Type="http://schemas.openxmlformats.org/officeDocument/2006/relationships/hyperlink" Id="rId6"/>
    <Relationship TargetMode="External" Target="https://www.legis.iowa.gov/docs/ico/chapter/543B.29.pdf" Type="http://schemas.openxmlformats.org/officeDocument/2006/relationships/hyperlink" Id="rId7"/>
    <Relationship TargetMode="External" Target="https://www.legis.iowa.gov/docs/ico/chapter/543B.34.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