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481—2019.5</w:t>
      </w:r>
      <w:r>
        <w:rPr>
          <w:rFonts w:ascii="Times New Roman" w:hAnsi="Times New Roman"/>
          <w:b/>
          <w:i w:val="false"/>
          <w:color w:val="000000"/>
          <w:sz w:val="22"/>
        </w:rPr>
        <w:t xml:space="preserve">(543B) </w:t>
      </w:r>
      <w:r>
        <w:rPr>
          <w:rFonts w:ascii="Times New Roman" w:hAnsi="Times New Roman"/>
          <w:b/>
          <w:i w:val="false"/>
          <w:color w:val="000000"/>
          <w:sz w:val="22"/>
        </w:rPr>
        <w:t xml:space="preserve">Commission responsibilities. </w:t>
      </w:r>
      <w:r>
        <w:rPr>
          <w:rFonts w:ascii="Times New Roman" w:hAnsi="Times New Roman"/>
          <w:b w:val="false"/>
          <w:i w:val="false"/>
          <w:color w:val="000000"/>
          <w:sz w:val="22"/>
        </w:rPr>
        <w:t>The commission provides the insurance carrier or program manager an electronic schedule of all active licensees approximately three months in advance of inception (or renewal), or as otherwise agreed upon, which the insurance carrier or program manager may use to issue billing notices.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2019.5(1)</w:t>
      </w:r>
      <w:r>
        <w:rPr>
          <w:rFonts w:ascii="Times New Roman" w:hAnsi="Times New Roman"/>
          <w:b w:val="false"/>
          <w:i w:val="false"/>
          <w:color w:val="000000"/>
          <w:sz w:val="22"/>
        </w:rPr>
        <w:t> </w:t>
      </w:r>
      <w:r>
        <w:rPr>
          <w:rFonts w:ascii="Times New Roman" w:hAnsi="Times New Roman"/>
          <w:b w:val="false"/>
          <w:i w:val="false"/>
          <w:color w:val="000000"/>
          <w:sz w:val="22"/>
        </w:rPr>
        <w:t>The insurance carrier or program manager provides the commission with a schedule of insured licensees. The commission will be responsible for comparing this schedule against its own records to determine which licensees elected not to participate in the state program and those that have failed to furnish the commission with acceptable proof of insurance necessary for continued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2019.5(2)</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commission to review proof of other insurance received from licensees not participating in the state program and to confirm that the other insurance meets the minimum criteria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2019.5(3)</w:t>
      </w:r>
      <w:r>
        <w:rPr>
          <w:rFonts w:ascii="Times New Roman" w:hAnsi="Times New Roman"/>
          <w:b w:val="false"/>
          <w:i w:val="false"/>
          <w:color w:val="000000"/>
          <w:sz w:val="22"/>
        </w:rPr>
        <w:t> </w:t>
      </w:r>
      <w:r>
        <w:rPr>
          <w:rFonts w:ascii="Times New Roman" w:hAnsi="Times New Roman"/>
          <w:b w:val="false"/>
          <w:i w:val="false"/>
          <w:color w:val="000000"/>
          <w:sz w:val="22"/>
        </w:rPr>
        <w:t>The commission may mandate that an approved standard form be used to submit proof of other insurance coverage for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