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481—2018.9</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Investigation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2018.9(1)</w:t>
      </w:r>
      <w:r>
        <w:rPr>
          <w:rFonts w:ascii="Times New Roman" w:hAnsi="Times New Roman"/>
          <w:b w:val="false"/>
          <w:i w:val="false"/>
          <w:color w:val="000000"/>
          <w:sz w:val="22"/>
        </w:rPr>
        <w:t> </w:t>
      </w:r>
      <w:r>
        <w:rPr>
          <w:rFonts w:ascii="Times New Roman" w:hAnsi="Times New Roman"/>
          <w:b w:val="false"/>
          <w:i/>
          <w:color w:val="000000"/>
          <w:sz w:val="22"/>
        </w:rPr>
        <w:t xml:space="preserve">Disciplinary committee. </w:t>
      </w:r>
      <w:r>
        <w:rPr>
          <w:rFonts w:ascii="Times New Roman" w:hAnsi="Times New Roman"/>
          <w:b w:val="false"/>
          <w:i w:val="false"/>
          <w:color w:val="000000"/>
          <w:sz w:val="22"/>
        </w:rPr>
        <w:t xml:space="preserve">The commission chair may appoint two members of the commission to serve on a commission disciplinary committee. The chair may appoint a standing committee or may appoint different members to serve on the committee on an as-needed basis. The disciplinary committee is a purely advisory body which reviews complaint files referred by the commission’s administrator, generally supervises the investigation of complaints, and makes recommendations to the full commission on the disposition of complaints. Except as provided by rule </w:t>
      </w:r>
      <w:hyperlink r:id="rId4">
        <w:r>
          <w:rPr>
            <w:rStyle w:val="Hyperlink"/>
            <w:rFonts w:ascii="Times New Roman" w:hAnsi="Times New Roman"/>
            <w:b w:val="false"/>
            <w:i w:val="false"/>
            <w:color w:val="000000"/>
            <w:sz w:val="22"/>
          </w:rPr>
          <w:t>481—2018.10</w:t>
        </w:r>
      </w:hyperlink>
      <w:r>
        <w:rPr>
          <w:rFonts w:ascii="Times New Roman" w:hAnsi="Times New Roman"/>
          <w:b w:val="false"/>
          <w:i w:val="false"/>
          <w:color w:val="000000"/>
          <w:sz w:val="22"/>
        </w:rPr>
        <w:t>(17A,272C,543B), members of the committee do not personally investigate complaints, but they may review the investigative work product of others in formulating recommendations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2018.9(2)</w:t>
      </w:r>
      <w:r>
        <w:rPr>
          <w:rFonts w:ascii="Times New Roman" w:hAnsi="Times New Roman"/>
          <w:b w:val="false"/>
          <w:i w:val="false"/>
          <w:color w:val="000000"/>
          <w:sz w:val="22"/>
        </w:rPr>
        <w:t> </w:t>
      </w:r>
      <w:r>
        <w:rPr>
          <w:rFonts w:ascii="Times New Roman" w:hAnsi="Times New Roman"/>
          <w:b w:val="false"/>
          <w:i/>
          <w:color w:val="000000"/>
          <w:sz w:val="22"/>
        </w:rPr>
        <w:t xml:space="preserve">Committee screening of complaints. </w:t>
      </w:r>
      <w:r>
        <w:rPr>
          <w:rFonts w:ascii="Times New Roman" w:hAnsi="Times New Roman"/>
          <w:b w:val="false"/>
          <w:i w:val="false"/>
          <w:color w:val="000000"/>
          <w:sz w:val="22"/>
        </w:rPr>
        <w:t>Upon the referral of a complaint from the commission’s administrator or from the full commission, the committee determines whether the complaint presents facts which, if true, suggest that a licensee may have violated a law or rule enforced by the commission. If the committee concludes that the complaint does not present facts which suggest such a violation or that the complaint does not otherwise constitute an appropriate basis for disciplinary action, the committee refers the complaint to the full commission with the recommendation that it be closed with no further action. If the committee determines that the complaint does present a credible basis for disciplinary action, the committee may either immediately refer the complaint to the full commission recommending that a disciplinary proceeding be commenced or initiate a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2018.9(3)</w:t>
      </w:r>
      <w:r>
        <w:rPr>
          <w:rFonts w:ascii="Times New Roman" w:hAnsi="Times New Roman"/>
          <w:b w:val="false"/>
          <w:i w:val="false"/>
          <w:color w:val="000000"/>
          <w:sz w:val="22"/>
        </w:rPr>
        <w:t> </w:t>
      </w:r>
      <w:r>
        <w:rPr>
          <w:rFonts w:ascii="Times New Roman" w:hAnsi="Times New Roman"/>
          <w:b w:val="false"/>
          <w:i/>
          <w:color w:val="000000"/>
          <w:sz w:val="22"/>
        </w:rPr>
        <w:t xml:space="preserve">Committee procedures. </w:t>
      </w:r>
      <w:r>
        <w:rPr>
          <w:rFonts w:ascii="Times New Roman" w:hAnsi="Times New Roman"/>
          <w:b w:val="false"/>
          <w:i w:val="false"/>
          <w:color w:val="000000"/>
          <w:sz w:val="22"/>
        </w:rPr>
        <w:t xml:space="preserve">If the committee determines that additional information is necessary or desirable to evaluate the merits of a complaint, the committee may assign an investigator or expert consultant, appoint a peer review committee, provide the licensee an opportunity to appear before the disciplinary committee for an informal discussion as described in rule </w:t>
      </w:r>
      <w:hyperlink r:id="rId5">
        <w:r>
          <w:rPr>
            <w:rStyle w:val="Hyperlink"/>
            <w:rFonts w:ascii="Times New Roman" w:hAnsi="Times New Roman"/>
            <w:b w:val="false"/>
            <w:i w:val="false"/>
            <w:color w:val="000000"/>
            <w:sz w:val="22"/>
          </w:rPr>
          <w:t>481—2018.10</w:t>
        </w:r>
      </w:hyperlink>
      <w:r>
        <w:rPr>
          <w:rFonts w:ascii="Times New Roman" w:hAnsi="Times New Roman"/>
          <w:b w:val="false"/>
          <w:i w:val="false"/>
          <w:color w:val="000000"/>
          <w:sz w:val="22"/>
        </w:rPr>
        <w:t>(17A,272C,543B) or request commission staff to conduct further investigation. Upon completion of an investigation, the investigator, expert consultant, peer review committee or commission staff presents a report to the committee. The committee reviews the report and determines what further action is necessary. The committee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there is not probable cause to believe a disciplinary violation has occurred and refer the case to the full commission with the recommendation of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that a law or rule enforced by the commission has been violated, but that disciplinary action is unwarranted on other grounds, and refer the case to the full commission with the recommendation of closure. The committee may also recommend that the licensee be informally cautioned or educated about matters which could form the basis for disciplinary action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a disciplinary violation has occurred and either attempt informal settlement, subject to approval by the full commission, or refer the case to the full commission with the recommendation that the commission initiate a disciplinary proceeding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Stay further action on the complaint if, for instance, there is a pending criminal case or civil litigation and the committee feels it would be in the best interest of the public and respondent to await the final outcome of the litigation. Additionally, the committee may stay further action on a complaint when the respondent’s license is expired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2018.9(4)</w:t>
      </w:r>
      <w:r>
        <w:rPr>
          <w:rFonts w:ascii="Times New Roman" w:hAnsi="Times New Roman"/>
          <w:b w:val="false"/>
          <w:i w:val="false"/>
          <w:color w:val="000000"/>
          <w:sz w:val="22"/>
        </w:rPr>
        <w:t> </w:t>
      </w:r>
      <w:r>
        <w:rPr>
          <w:rFonts w:ascii="Times New Roman" w:hAnsi="Times New Roman"/>
          <w:b w:val="false"/>
          <w:i/>
          <w:color w:val="000000"/>
          <w:sz w:val="22"/>
        </w:rPr>
        <w:t xml:space="preserve">Subpoena authority. </w:t>
      </w:r>
      <w:r>
        <w:rPr>
          <w:rFonts w:ascii="Times New Roman" w:hAnsi="Times New Roman"/>
          <w:b w:val="false"/>
          <w:i w:val="false"/>
          <w:color w:val="000000"/>
          <w:sz w:val="22"/>
        </w:rPr>
        <w:t xml:space="preserve">The commission is authorized in connection with a disciplinary investigation to issue subpoenas to compel witnesses to testify or persons to produce books, papers, records and any other real evidence, whether or not privileged or confidential under law, which the commission deems necessary as evidence in connection with a disciplinary proceeding or relevant to the decision of whether to initiate a disciplinary proceeding, pursuant to Iowa Code sections </w:t>
      </w:r>
      <w:hyperlink r:id="rId6">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543B.36</w:t>
        </w:r>
      </w:hyperlink>
      <w:r>
        <w:rPr>
          <w:rFonts w:ascii="Times New Roman" w:hAnsi="Times New Roman"/>
          <w:b w:val="false"/>
          <w:i w:val="false"/>
          <w:color w:val="000000"/>
          <w:sz w:val="22"/>
        </w:rPr>
        <w:t xml:space="preserve">. Commission procedures concerning investigative subpoenas are set forth in rule </w:t>
      </w:r>
      <w:hyperlink r:id="rId9">
        <w:r>
          <w:rPr>
            <w:rStyle w:val="Hyperlink"/>
            <w:rFonts w:ascii="Times New Roman" w:hAnsi="Times New Roman"/>
            <w:b w:val="false"/>
            <w:i w:val="false"/>
            <w:color w:val="000000"/>
            <w:sz w:val="22"/>
          </w:rPr>
          <w:t>481—503.5</w:t>
        </w:r>
      </w:hyperlink>
      <w:r>
        <w:rPr>
          <w:rFonts w:ascii="Times New Roman" w:hAnsi="Times New Roman"/>
          <w:b w:val="false"/>
          <w:i w:val="false"/>
          <w:color w:val="000000"/>
          <w:sz w:val="22"/>
        </w:rPr>
        <w:t>(17A,272C).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2018.10.pdf" Type="http://schemas.openxmlformats.org/officeDocument/2006/relationships/hyperlink" Id="rId4"/>
    <Relationship TargetMode="External" Target="https://www.legis.iowa.gov/docs/iac/rule/481.2018.10.pdf" Type="http://schemas.openxmlformats.org/officeDocument/2006/relationships/hyperlink" Id="rId5"/>
    <Relationship TargetMode="External" Target="https://www.legis.iowa.gov/docs/ico/chapter/17A.13.pdf" Type="http://schemas.openxmlformats.org/officeDocument/2006/relationships/hyperlink" Id="rId6"/>
    <Relationship TargetMode="External" Target="https://www.legis.iowa.gov/docs/ico/chapter/272C.6.pdf" Type="http://schemas.openxmlformats.org/officeDocument/2006/relationships/hyperlink" Id="rId7"/>
    <Relationship TargetMode="External" Target="https://www.legis.iowa.gov/docs/ico/chapter/543B.36.pdf" Type="http://schemas.openxmlformats.org/officeDocument/2006/relationships/hyperlink" Id="rId8"/>
    <Relationship TargetMode="External" Target="https://www.legis.iowa.gov/docs/iac/rule/481.503.5.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