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481—2018.7</w:t>
      </w:r>
      <w:r>
        <w:rPr>
          <w:rFonts w:ascii="Times New Roman" w:hAnsi="Times New Roman"/>
          <w:b/>
          <w:i w:val="false"/>
          <w:color w:val="000000"/>
          <w:sz w:val="22"/>
        </w:rPr>
        <w:t xml:space="preserve">(272C,543B) </w:t>
      </w:r>
      <w:r>
        <w:rPr>
          <w:rFonts w:ascii="Times New Roman" w:hAnsi="Times New Roman"/>
          <w:b/>
          <w:i w:val="false"/>
          <w:color w:val="000000"/>
          <w:sz w:val="22"/>
        </w:rPr>
        <w:t xml:space="preserve">Case numbers. </w:t>
      </w:r>
      <w:r>
        <w:rPr>
          <w:rFonts w:ascii="Times New Roman" w:hAnsi="Times New Roman"/>
          <w:b w:val="false"/>
          <w:i w:val="false"/>
          <w:color w:val="000000"/>
          <w:sz w:val="22"/>
        </w:rPr>
        <w:t>Whether based on a written complaint received by the commission or a complaint initiated by the commission, all complaint files are tracked by a case numbering system. Complaints are assigned case numbers in chronological order with the first two digits representing the year in which the complaint was received or initiated, and the second three digits representing the order in which the case file was opened (e.g., 01-001, 01-002, 01-003). The commission’s administrator maintains a case file log noting the date each case file was opened, whether disciplinary proceedings were initiated in the case, and the final disposition of the case. Once a case file number is assigned to a complaint, all persons communicating with the commission regarding that complaint are encouraged to include the case file number to facilitate accurate records and prompt response.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