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commission, or if a member of the commission has a conflict of interest in any disciplinary matter before the commission, that member abstains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