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Sources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Without limitation, the following nonexclusive list of information sources may form the basis for the initiation of a disciplinary investigation or proceeding: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News articles or other media sources.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Reports filed with the commission by the commissioner of insurance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272C.4(9)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Complaints filed with the commission by any member of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License applications or other documents submitted to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Reports to the commission from any regulatory or law enforcement agency from any jurisdiction.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Commission audits of licensee compliance, such as those involving continuing education, trust accounts, or errors and omissions insurance.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