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481—2018.15</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voluntary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commission, or who has voluntarily surrendered a license to the commission or has agreed to a voluntary revocation of a license, may apply to the commission for reinstatement in accordance with the terms of the order of revocation, voluntary surrender, voluntary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voluntary revocation, voluntary surrender, or suspension did not establish terms upon which reinstatement might occur, initial application for reinstatement cannot be made until at least two years have elapsed from the date of the order or the date the commission accepted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2018.15(3)</w:t>
      </w:r>
      <w:r>
        <w:rPr>
          <w:rFonts w:ascii="Times New Roman" w:hAnsi="Times New Roman"/>
          <w:b w:val="false"/>
          <w:i w:val="false"/>
          <w:color w:val="000000"/>
          <w:sz w:val="22"/>
        </w:rPr>
        <w:t> </w:t>
      </w:r>
      <w:r>
        <w:rPr>
          <w:rFonts w:ascii="Times New Roman" w:hAnsi="Times New Roman"/>
          <w:b w:val="false"/>
          <w:i w:val="false"/>
          <w:color w:val="000000"/>
          <w:sz w:val="22"/>
        </w:rPr>
        <w:t>Following the revocation or surrender of a broker or salesperson license, an applicant for reinstatement, as a condition of reinstatement, start over as an original applicant for a salesperson license, regardless of the type of license the applicant previously held. The applicant is obligated to satisfy all preconditions for licensure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2018.15(4)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provisions of rule </w:t>
      </w:r>
      <w:hyperlink r:id="rId4">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an applicant’s request to appear informally before the commission prior to the issuance of a notice of hearing on an application to reinstate if the applicant requests an informal appearance in the application and agrees not to seek to disqualify, on the ground of personal investigation, commission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commission deems desirable, which may include one or more of the types of disciplinary sanctions described in rule </w:t>
      </w:r>
      <w:hyperlink r:id="rId5">
        <w:r>
          <w:rPr>
            <w:rStyle w:val="Hyperlink"/>
            <w:rFonts w:ascii="Times New Roman" w:hAnsi="Times New Roman"/>
            <w:b w:val="false"/>
            <w:i w:val="false"/>
            <w:color w:val="000000"/>
            <w:sz w:val="22"/>
          </w:rPr>
          <w:t>481—2018.14</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cannot grant an application for reinstatement when the initial order which revoked, suspended or limited the license; denied license renewal; or accepted a voluntary surrender was based on a criminal conviction and the applicant cannot demonstrate to the commission’s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32.pdf" Type="http://schemas.openxmlformats.org/officeDocument/2006/relationships/hyperlink" Id="rId4"/>
    <Relationship TargetMode="External" Target="https://www.legis.iowa.gov/docs/iac/rule/481.2018.1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