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481—2018.14</w:t>
      </w:r>
      <w:r>
        <w:rPr>
          <w:rFonts w:ascii="Times New Roman" w:hAnsi="Times New Roman"/>
          <w:b/>
          <w:i w:val="false"/>
          <w:color w:val="000000"/>
          <w:sz w:val="22"/>
        </w:rPr>
        <w:t xml:space="preserve">(272C,543B)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commission has authority to impose, alone or in combination,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Revocation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Suspension of a license for a period of time or indefinitely.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Nonrenewal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Ban permanently, until further order of the commission, or for a specified period of time, the engagement in specified procedures, methods or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Probation. As a condition to a period of probation, the commission may impose terms and conditions deemed appropriate by the commission including, but not limited to, substance abuse evaluation and such care and treatment as recommended in the evaluation or otherwise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Mandate additional continuing education. The commission may specify that a designated amount of continuing education be taken in specific subjects and may specify the time period for completing these courses. The commission may also specify whether this continuing education be in addition to the continuing education routinely needed for license renewal. The commission may also specify that additional continuing education be a condition for the termination of any suspension or reinstatement of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Require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Impose a monitoring or supervision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Downgrade a license from a broker license to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Order a physical or mental examination with periodic reports to the commission, if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the amount of which is at the discretion of the commission, but does not exceed $2,500 per violation as authorized by Iowa Code section </w:t>
      </w:r>
      <w:hyperlink r:id="rId4">
        <w:r>
          <w:rPr>
            <w:rStyle w:val="Hyperlink"/>
            <w:rFonts w:ascii="Times New Roman" w:hAnsi="Times New Roman"/>
            <w:b w:val="false"/>
            <w:i w:val="false"/>
            <w:color w:val="000000"/>
            <w:sz w:val="22"/>
          </w:rPr>
          <w:t>543B.48</w:t>
        </w:r>
      </w:hyperlink>
      <w:r>
        <w:rPr>
          <w:rFonts w:ascii="Times New Roman" w:hAnsi="Times New Roman"/>
          <w:b w:val="false"/>
          <w:i w:val="false"/>
          <w:color w:val="000000"/>
          <w:sz w:val="22"/>
        </w:rPr>
        <w:t xml:space="preserve">. Civil penalties may be imposed for any of the disciplinary violations specified in rule </w:t>
      </w:r>
      <w:hyperlink r:id="rId5">
        <w:r>
          <w:rPr>
            <w:rStyle w:val="Hyperlink"/>
            <w:rFonts w:ascii="Times New Roman" w:hAnsi="Times New Roman"/>
            <w:b w:val="false"/>
            <w:i w:val="false"/>
            <w:color w:val="000000"/>
            <w:sz w:val="22"/>
          </w:rPr>
          <w:t>481—2018.2</w:t>
        </w:r>
      </w:hyperlink>
      <w:r>
        <w:rPr>
          <w:rFonts w:ascii="Times New Roman" w:hAnsi="Times New Roman"/>
          <w:b w:val="false"/>
          <w:i w:val="false"/>
          <w:color w:val="000000"/>
          <w:sz w:val="22"/>
        </w:rPr>
        <w:t xml:space="preserve">(17A,272C,543B) and as listed in subrule </w:t>
      </w:r>
      <w:hyperlink r:id="rId6">
        <w:r>
          <w:rPr>
            <w:rStyle w:val="Hyperlink"/>
            <w:rFonts w:ascii="Times New Roman" w:hAnsi="Times New Roman"/>
            <w:b w:val="false"/>
            <w:i w:val="false"/>
            <w:color w:val="000000"/>
            <w:sz w:val="22"/>
          </w:rPr>
          <w:t>2018.14(5)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 xml:space="preserve">Discipline may only be imposed against a licensee by the authorization of Iowa Code section </w:t>
      </w:r>
      <w:hyperlink r:id="rId7">
        <w:r>
          <w:rPr>
            <w:rStyle w:val="Hyperlink"/>
            <w:rFonts w:ascii="Times New Roman" w:hAnsi="Times New Roman"/>
            <w:b w:val="false"/>
            <w:i w:val="false"/>
            <w:color w:val="000000"/>
            <w:sz w:val="22"/>
          </w:rPr>
          <w:t>272C.6(5)</w:t>
        </w:r>
      </w:hyperlink>
      <w:r>
        <w:rPr>
          <w:rFonts w:ascii="Times New Roman" w:hAnsi="Times New Roman"/>
          <w:b w:val="false"/>
          <w:i w:val="false"/>
          <w:color w:val="000000"/>
          <w:sz w:val="22"/>
        </w:rPr>
        <w:t>. When determining the nature and severity of the sanction to be imposed against a particular licensee or groups of licensees, the commission may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relative seriousness of the violation as it relates to assuring the citizens of this state professional competency.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facts of the particular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Number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Seriousness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remedial action has been taken.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impact of the particular activity upon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Such other factors as may reflect upon the competency, ethical standards and professional conduct of the licensee, including those listed in subrule </w:t>
      </w:r>
      <w:hyperlink r:id="rId8">
        <w:r>
          <w:rPr>
            <w:rStyle w:val="Hyperlink"/>
            <w:rFonts w:ascii="Times New Roman" w:hAnsi="Times New Roman"/>
            <w:b w:val="false"/>
            <w:i w:val="false"/>
            <w:color w:val="000000"/>
            <w:sz w:val="22"/>
          </w:rPr>
          <w:t>2018.14(6)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commission may accept the voluntary surrender of a license to resolve a pending disciplinary contested case or pending disciplinary investigation. The commission cannot accept a voluntary surrender of a license to resolve a pending disciplinary investigation unless a statement of charges is filed along with the order accepting the voluntary surrender. Such a voluntary surrender is considered disciplinary action and is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2018.14(4)</w:t>
      </w:r>
      <w:r>
        <w:rPr>
          <w:rFonts w:ascii="Times New Roman" w:hAnsi="Times New Roman"/>
          <w:b w:val="false"/>
          <w:i w:val="false"/>
          <w:color w:val="000000"/>
          <w:sz w:val="22"/>
        </w:rPr>
        <w:t> </w:t>
      </w:r>
      <w:r>
        <w:rPr>
          <w:rFonts w:ascii="Times New Roman" w:hAnsi="Times New Roman"/>
          <w:b w:val="false"/>
          <w:i/>
          <w:color w:val="000000"/>
          <w:sz w:val="22"/>
        </w:rPr>
        <w:t xml:space="preserve">Notification criteria. </w:t>
      </w:r>
      <w:r>
        <w:rPr>
          <w:rFonts w:ascii="Times New Roman" w:hAnsi="Times New Roman"/>
          <w:b w:val="false"/>
          <w:i w:val="false"/>
          <w:color w:val="000000"/>
          <w:sz w:val="22"/>
        </w:rPr>
        <w:t xml:space="preserve">Whenever a broker’s license is revoked, suspended, limited, or voluntarily surrendered under this chapter, the licensee follows the procedures set forth in rule </w:t>
      </w:r>
      <w:hyperlink r:id="rId9">
        <w:r>
          <w:rPr>
            <w:rStyle w:val="Hyperlink"/>
            <w:rFonts w:ascii="Times New Roman" w:hAnsi="Times New Roman"/>
            <w:b w:val="false"/>
            <w:i w:val="false"/>
            <w:color w:val="000000"/>
            <w:sz w:val="22"/>
          </w:rPr>
          <w:t>481—2007.3</w:t>
        </w:r>
      </w:hyperlink>
      <w:r>
        <w:rPr>
          <w:rFonts w:ascii="Times New Roman" w:hAnsi="Times New Roman"/>
          <w:b w:val="false"/>
          <w:i w:val="false"/>
          <w:color w:val="000000"/>
          <w:sz w:val="22"/>
        </w:rPr>
        <w:t>(543B). Strict compliance with these procedures is a condition for an application for reinstatement. Whenever a salesperson’s or broker associate’s license is revoked, suspended, limited, or voluntarily surrendered under this chapter, the licensee immediately notifies the licensee’s broker,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seven days of receipt of the commission’s final order, notifies in writing all clients of the fact that the license has been revoked, suspended, limited, or voluntarily surrendered. Such notice advises the client to immediately contact the broker, unless the limitation at issue would not impact the real estate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commission’s final order, the licensee files with the commission copies of the notices sent pursuant to paragraph </w:t>
      </w:r>
      <w:hyperlink r:id="rId10">
        <w:r>
          <w:rPr>
            <w:rStyle w:val="Hyperlink"/>
            <w:rFonts w:ascii="Times New Roman" w:hAnsi="Times New Roman"/>
            <w:b w:val="false"/>
            <w:i w:val="false"/>
            <w:color w:val="000000"/>
            <w:sz w:val="22"/>
          </w:rPr>
          <w:t>2018.14(4)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criteria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2018.14(5)</w:t>
      </w:r>
      <w:r>
        <w:rPr>
          <w:rFonts w:ascii="Times New Roman" w:hAnsi="Times New Roman"/>
          <w:b w:val="false"/>
          <w:i w:val="false"/>
          <w:color w:val="000000"/>
          <w:sz w:val="22"/>
        </w:rPr>
        <w:t> </w:t>
      </w:r>
      <w:r>
        <w:rPr>
          <w:rFonts w:ascii="Times New Roman" w:hAnsi="Times New Roman"/>
          <w:b w:val="false"/>
          <w:i/>
          <w:color w:val="000000"/>
          <w:sz w:val="22"/>
        </w:rPr>
        <w:t xml:space="preserve">Violations for which civil penalties may be imposed. </w:t>
      </w:r>
      <w:r>
        <w:rPr>
          <w:rFonts w:ascii="Times New Roman" w:hAnsi="Times New Roman"/>
          <w:b w:val="false"/>
          <w:i w:val="false"/>
          <w:color w:val="000000"/>
          <w:sz w:val="22"/>
        </w:rPr>
        <w:t>The following is a nonexclusive list of violations upon which civil penalties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Engaging in activities requiring a license when license is inactive.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Failing to maintain a 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Improper care and custody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properly display license(s).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return license in a timely manner (received within 72 hours as provided by 481—subrules </w:t>
      </w:r>
      <w:hyperlink r:id="rId11">
        <w:r>
          <w:rPr>
            <w:rStyle w:val="Hyperlink"/>
            <w:rFonts w:ascii="Times New Roman" w:hAnsi="Times New Roman"/>
            <w:b w:val="false"/>
            <w:i w:val="false"/>
            <w:color w:val="000000"/>
            <w:sz w:val="22"/>
          </w:rPr>
          <w:t>2006.1(1)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2006.1(2)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notify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provide mailing address of associate when license is returned.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Failing to inform commission and remit necessary fees if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changing business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changing status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When changing form of firm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 opening a trust account by not filing a consent to examine for the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When changing residence address or mailing address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When independently obtained errors and omissions insurance status, coverage or provider changes (five working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Maintaining inadequate transaction records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maintain a general ledger.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Failing to maintain individual account ledgers.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Failing to retain records on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Improper trust account and closing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Failing to deposit funds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Disbursing trust funds prior to closing without written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Withholding earnest money unlawfully when the transaction fails to consummate.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Failing to obtain escrow agreement for undisbursed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Failing to remit and account for interest on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Computing closing statements improperly.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Failing to provide closing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Retaining excess personal funds in the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Failing as a salesperson or broker associate to immediately turn funds over to the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deposit trust funds in interest-bearing account in accordance with Iowa Code section </w:t>
      </w:r>
      <w:hyperlink r:id="rId13">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account for and remit to the state accrued interest due in accordance with Iowa Code section </w:t>
      </w:r>
      <w:hyperlink r:id="rId14">
        <w:r>
          <w:rPr>
            <w:rStyle w:val="Hyperlink"/>
            <w:rFonts w:ascii="Times New Roman" w:hAnsi="Times New Roman"/>
            <w:b w:val="false"/>
            <w:i w:val="false"/>
            <w:color w:val="000000"/>
            <w:sz w:val="22"/>
          </w:rPr>
          <w:t>543B.46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Failing to immediately present offer.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Advertising without identifying broker or clearly indicating advertisement is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Failing to provide information to the commission when requested relative to a complaint (14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Failing to obtain all signatures needed on contracts or to obtain signatures or initials of all parties to changes in a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Placing a sign on property without consent, or failure to remove a sign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Failing to furnish a progress report when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by a broker to supervise salespersons or broker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Failing by a broker associate or salesperson to keep the employing broker informed.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to the commission for any reason or to anyone else in the individual’s capacity as a real estate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Issuing an insufficient funds check on the broker’s trust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Engaging in conduct which constitutes a barred practice or tying arrangement as banned by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Failing to inform clients of real estate brokerage firm of the date the firm will cease to be in business and the effect upon sellers’ listing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have a brokerage agreement signed as outlined in Iowa Code section </w:t>
      </w:r>
      <w:hyperlink r:id="rId15">
        <w:r>
          <w:rPr>
            <w:rStyle w:val="Hyperlink"/>
            <w:rFonts w:ascii="Times New Roman" w:hAnsi="Times New Roman"/>
            <w:b w:val="false"/>
            <w:i w:val="false"/>
            <w:color w:val="000000"/>
            <w:sz w:val="22"/>
          </w:rPr>
          <w:t>543B.56A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remaining provisions in </w:t>
      </w:r>
      <w:hyperlink r:id="rId16">
        <w:r>
          <w:rPr>
            <w:rStyle w:val="Hyperlink"/>
            <w:rFonts w:ascii="Times New Roman" w:hAnsi="Times New Roman"/>
            <w:b w:val="false"/>
            <w:i w:val="false"/>
            <w:color w:val="000000"/>
            <w:sz w:val="22"/>
          </w:rPr>
          <w:t>481—Chapters 2001</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2022</w:t>
        </w:r>
      </w:hyperlink>
      <w:r>
        <w:rPr>
          <w:rFonts w:ascii="Times New Roman" w:hAnsi="Times New Roman"/>
          <w:b w:val="false"/>
          <w:i w:val="false"/>
          <w:color w:val="000000"/>
          <w:sz w:val="22"/>
        </w:rPr>
        <w:t xml:space="preserve"> that have not heretofore been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2018.14(6)</w:t>
      </w:r>
      <w:r>
        <w:rPr>
          <w:rFonts w:ascii="Times New Roman" w:hAnsi="Times New Roman"/>
          <w:b w:val="false"/>
          <w:i w:val="false"/>
          <w:color w:val="000000"/>
          <w:sz w:val="22"/>
        </w:rPr>
        <w:t> </w:t>
      </w:r>
      <w:r>
        <w:rPr>
          <w:rFonts w:ascii="Times New Roman" w:hAnsi="Times New Roman"/>
          <w:b w:val="false"/>
          <w:i/>
          <w:color w:val="000000"/>
          <w:sz w:val="22"/>
        </w:rPr>
        <w:t xml:space="preserve">Amount of civil penalties. </w:t>
      </w:r>
      <w:r>
        <w:rPr>
          <w:rFonts w:ascii="Times New Roman" w:hAnsi="Times New Roman"/>
          <w:b w:val="false"/>
          <w:i w:val="false"/>
          <w:color w:val="000000"/>
          <w:sz w:val="22"/>
        </w:rPr>
        <w:t>Factors the commission may consider when determining whether to assess and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licensee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licensee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licensee cooperated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the licensee with a lapsed, inactive, suspended, limited or revoked license improperly engaged in practices which need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9250C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48.pdf" Type="http://schemas.openxmlformats.org/officeDocument/2006/relationships/hyperlink" Id="rId4"/>
    <Relationship TargetMode="External" Target="https://www.legis.iowa.gov/docs/iac/rule/481.2018.2.pdf" Type="http://schemas.openxmlformats.org/officeDocument/2006/relationships/hyperlink" Id="rId5"/>
    <Relationship TargetMode="External" Target="https://www.legis.iowa.gov/docs/iac/rule/481.2018.14.pdf" Type="http://schemas.openxmlformats.org/officeDocument/2006/relationships/hyperlink" Id="rId6"/>
    <Relationship TargetMode="External" Target="https://www.legis.iowa.gov/docs/ico/chapter/272C.6.pdf" Type="http://schemas.openxmlformats.org/officeDocument/2006/relationships/hyperlink" Id="rId7"/>
    <Relationship TargetMode="External" Target="https://www.legis.iowa.gov/docs/iac/rule/481.2018.14.pdf" Type="http://schemas.openxmlformats.org/officeDocument/2006/relationships/hyperlink" Id="rId8"/>
    <Relationship TargetMode="External" Target="https://www.legis.iowa.gov/docs/iac/rule/481.2007.3.pdf" Type="http://schemas.openxmlformats.org/officeDocument/2006/relationships/hyperlink" Id="rId9"/>
    <Relationship TargetMode="External" Target="https://www.legis.iowa.gov/docs/iac/rule/481.2018.14.pdf" Type="http://schemas.openxmlformats.org/officeDocument/2006/relationships/hyperlink" Id="rId10"/>
    <Relationship TargetMode="External" Target="https://www.legis.iowa.gov/docs/iac/rule/193E.2006.1.pdf" Type="http://schemas.openxmlformats.org/officeDocument/2006/relationships/hyperlink" Id="rId11"/>
    <Relationship TargetMode="External" Target="https://www.legis.iowa.gov/docs/iac/rule/481.2006.1.pdf" Type="http://schemas.openxmlformats.org/officeDocument/2006/relationships/hyperlink" Id="rId12"/>
    <Relationship TargetMode="External" Target="https://www.legis.iowa.gov/docs/ico/chapter/543B.46.pdf" Type="http://schemas.openxmlformats.org/officeDocument/2006/relationships/hyperlink" Id="rId13"/>
    <Relationship TargetMode="External" Target="https://www.legis.iowa.gov/docs/ico/chapter/543B.46.pdf" Type="http://schemas.openxmlformats.org/officeDocument/2006/relationships/hyperlink" Id="rId14"/>
    <Relationship TargetMode="External" Target="https://www.legis.iowa.gov/docs/ico/chapter/543B.56A.pdf" Type="http://schemas.openxmlformats.org/officeDocument/2006/relationships/hyperlink" Id="rId15"/>
    <Relationship TargetMode="External" Target="https://www.legis.iowa.gov/docs/iac/chapter/481.2001.pdf" Type="http://schemas.openxmlformats.org/officeDocument/2006/relationships/hyperlink" Id="rId16"/>
    <Relationship TargetMode="External" Target="https://www.legis.iowa.gov/docs/iac/chapter/481.2022.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