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481—2018.1</w:t>
      </w:r>
      <w:r>
        <w:rPr>
          <w:rFonts w:ascii="Times New Roman" w:hAnsi="Times New Roman"/>
          <w:b/>
          <w:i w:val="false"/>
          <w:color w:val="000000"/>
          <w:sz w:val="22"/>
        </w:rPr>
        <w:t xml:space="preserve">(17A,272C,543B) </w:t>
      </w:r>
      <w:r>
        <w:rPr>
          <w:rFonts w:ascii="Times New Roman" w:hAnsi="Times New Roman"/>
          <w:b/>
          <w:i w:val="false"/>
          <w:color w:val="000000"/>
          <w:sz w:val="22"/>
        </w:rPr>
        <w:t xml:space="preserve">Disciplinary and investigative authority. </w:t>
      </w:r>
      <w:r>
        <w:rPr>
          <w:rFonts w:ascii="Times New Roman" w:hAnsi="Times New Roman"/>
          <w:b w:val="false"/>
          <w:i w:val="false"/>
          <w:color w:val="000000"/>
          <w:sz w:val="22"/>
        </w:rPr>
        <w:t xml:space="preserve">The commission is empowered to administer Iowa Code chapters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related administrative rules for the protection and well-being of those persons who may rely upon licensed individuals for the performance of real estate services within this state or for clients in this state. To perform these functions, the commission is broadly vested with authority, pursuant to Iowa Code sections </w:t>
      </w:r>
      <w:hyperlink r:id="rId7">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272C.3 through 272C.6</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543B.9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543B.29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543B.34 to 543B.41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543B.61</w:t>
        </w:r>
      </w:hyperlink>
      <w:r>
        <w:rPr>
          <w:rFonts w:ascii="Times New Roman" w:hAnsi="Times New Roman"/>
          <w:b w:val="false"/>
          <w:i w:val="false"/>
          <w:color w:val="000000"/>
          <w:sz w:val="22"/>
        </w:rPr>
        <w:t xml:space="preserve"> to review and investigate alleged acts or omissions of licensees, determine whether disciplinary proceedings are warranted, initiate and prosecute disciplinary proceedings, establish standards of professional conduct, and impose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543B.pdf" Type="http://schemas.openxmlformats.org/officeDocument/2006/relationships/hyperlink" Id="rId6"/>
    <Relationship TargetMode="External" Target="https://www.legis.iowa.gov/docs/ico/chapter/17A.13.pdf" Type="http://schemas.openxmlformats.org/officeDocument/2006/relationships/hyperlink" Id="rId7"/>
    <Relationship TargetMode="External" Target="https://www.legis.iowa.gov/docs/ico/chapter/272C.3-6.pdf" Type="http://schemas.openxmlformats.org/officeDocument/2006/relationships/hyperlink" Id="rId8"/>
    <Relationship TargetMode="External" Target="https://www.legis.iowa.gov/docs/ico/chapter/272C.10.pdf" Type="http://schemas.openxmlformats.org/officeDocument/2006/relationships/hyperlink" Id="rId9"/>
    <Relationship TargetMode="External" Target="https://www.legis.iowa.gov/docs/ico/chapter/543B.9.pdf" Type="http://schemas.openxmlformats.org/officeDocument/2006/relationships/hyperlink" Id="rId10"/>
    <Relationship TargetMode="External" Target="https://www.legis.iowa.gov/docs/ico/chapter/543B.29.pdf" Type="http://schemas.openxmlformats.org/officeDocument/2006/relationships/hyperlink" Id="rId11"/>
    <Relationship TargetMode="External" Target="https://www.legis.iowa.gov/docs/ico/chapter/543B.34-41.pdf" Type="http://schemas.openxmlformats.org/officeDocument/2006/relationships/hyperlink" Id="rId12"/>
    <Relationship TargetMode="External" Target="https://www.legis.iowa.gov/docs/ico/chapter/543B.6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