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481—2017.5</w:t>
      </w:r>
      <w:r>
        <w:rPr>
          <w:rFonts w:ascii="Times New Roman" w:hAnsi="Times New Roman"/>
          <w:b/>
          <w:i w:val="false"/>
          <w:color w:val="000000"/>
          <w:sz w:val="22"/>
        </w:rPr>
        <w:t xml:space="preserve">(543B) </w:t>
      </w:r>
      <w:r>
        <w:rPr>
          <w:rFonts w:ascii="Times New Roman" w:hAnsi="Times New Roman"/>
          <w:b/>
          <w:i w:val="false"/>
          <w:color w:val="000000"/>
          <w:sz w:val="22"/>
        </w:rPr>
        <w:t xml:space="preserve">Acceptable course topics.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2017.5(1)</w:t>
      </w:r>
      <w:r>
        <w:rPr>
          <w:rFonts w:ascii="Times New Roman" w:hAnsi="Times New Roman"/>
          <w:b w:val="false"/>
          <w:i w:val="false"/>
          <w:color w:val="000000"/>
          <w:sz w:val="22"/>
        </w:rPr>
        <w:t> </w:t>
      </w:r>
      <w:r>
        <w:rPr>
          <w:rFonts w:ascii="Times New Roman" w:hAnsi="Times New Roman"/>
          <w:b w:val="false"/>
          <w:i w:val="false"/>
          <w:color w:val="000000"/>
          <w:sz w:val="22"/>
        </w:rPr>
        <w:t>The commission will consider courses in the following areas to be acceptable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estate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Legislative issues that influence real estate practice, including both pending and recent legislation;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administration of licensing provisions of real estate law and rules, including compliance and regulatory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Real estate financing, including mortgages and other financing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Real estate market analysis and evaluation, including site evaluations, market data, and feasibility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Real estate brokerage administration, including office management, trust accounts, and employee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Real estate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Real property management, including leasing agreements, accounting procedures, and management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Real property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Land use planning and zoning;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Real estate securities and syndications;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Estate building and portfolio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Accounting and taxation as applied to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Market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Real estate market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Technology and the practice of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Fair housing;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Diversity, equity and inclusion.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2017.5(2)</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course topics. A course topic may be approved if it is determined that it includes such facts, concepts and current information about which licensees are knowledgeable to conduct real estate negotiations and transactions and better protect client, customer and public interest. The same criteria will be used to evaluate courses that do not otherwise qualify under rule </w:t>
      </w:r>
      <w:hyperlink r:id="rId4">
        <w:r>
          <w:rPr>
            <w:rStyle w:val="Hyperlink"/>
            <w:rFonts w:ascii="Times New Roman" w:hAnsi="Times New Roman"/>
            <w:b w:val="false"/>
            <w:i w:val="false"/>
            <w:color w:val="000000"/>
            <w:sz w:val="22"/>
          </w:rPr>
          <w:t>481—2017.5</w:t>
        </w:r>
      </w:hyperlink>
      <w:r>
        <w:rPr>
          <w:rFonts w:ascii="Times New Roman" w:hAnsi="Times New Roman"/>
          <w:b w:val="false"/>
          <w:i w:val="false"/>
          <w:color w:val="000000"/>
          <w:sz w:val="22"/>
        </w:rPr>
        <w:t>(543B).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17.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