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481—2017.11</w:t>
      </w:r>
      <w:r>
        <w:rPr>
          <w:rFonts w:ascii="Times New Roman" w:hAnsi="Times New Roman"/>
          <w:b/>
          <w:i w:val="false"/>
          <w:color w:val="000000"/>
          <w:sz w:val="22"/>
        </w:rPr>
        <w:t xml:space="preserve">(543B) </w:t>
      </w:r>
      <w:r>
        <w:rPr>
          <w:rFonts w:ascii="Times New Roman" w:hAnsi="Times New Roman"/>
          <w:b/>
          <w:i w:val="false"/>
          <w:color w:val="000000"/>
          <w:sz w:val="22"/>
        </w:rPr>
        <w:t xml:space="preserve">Standards for approval of paper and pencil home-study courses. </w:t>
      </w:r>
      <w:r>
        <w:rPr>
          <w:rFonts w:ascii="Times New Roman" w:hAnsi="Times New Roman"/>
          <w:b w:val="false"/>
          <w:i w:val="false"/>
          <w:color w:val="000000"/>
          <w:sz w:val="22"/>
        </w:rPr>
        <w:t>The commission may approve paper and pencil home-study courses, subject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2017.11(1)</w:t>
      </w:r>
      <w:r>
        <w:rPr>
          <w:rFonts w:ascii="Times New Roman" w:hAnsi="Times New Roman"/>
          <w:b w:val="false"/>
          <w:i w:val="false"/>
          <w:color w:val="000000"/>
          <w:sz w:val="22"/>
        </w:rPr>
        <w:t> </w:t>
      </w:r>
      <w:r>
        <w:rPr>
          <w:rFonts w:ascii="Times New Roman" w:hAnsi="Times New Roman"/>
          <w:b w:val="false"/>
          <w:i w:val="false"/>
          <w:color w:val="000000"/>
          <w:sz w:val="22"/>
        </w:rPr>
        <w:t>Courses are arranged in chapter format and include a table of contents.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2017.11(2)</w:t>
      </w:r>
      <w:r>
        <w:rPr>
          <w:rFonts w:ascii="Times New Roman" w:hAnsi="Times New Roman"/>
          <w:b w:val="false"/>
          <w:i w:val="false"/>
          <w:color w:val="000000"/>
          <w:sz w:val="22"/>
        </w:rPr>
        <w:t> </w:t>
      </w:r>
      <w:r>
        <w:rPr>
          <w:rFonts w:ascii="Times New Roman" w:hAnsi="Times New Roman"/>
          <w:b w:val="false"/>
          <w:i w:val="false"/>
          <w:color w:val="000000"/>
          <w:sz w:val="22"/>
        </w:rPr>
        <w:t>Overview statements that preview the content of the chapter are included for each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2017.11(3)</w:t>
      </w:r>
      <w:r>
        <w:rPr>
          <w:rFonts w:ascii="Times New Roman" w:hAnsi="Times New Roman"/>
          <w:b w:val="false"/>
          <w:i w:val="false"/>
          <w:color w:val="000000"/>
          <w:sz w:val="22"/>
        </w:rPr>
        <w:t> </w:t>
      </w:r>
      <w:r>
        <w:rPr>
          <w:rFonts w:ascii="Times New Roman" w:hAnsi="Times New Roman"/>
          <w:b w:val="false"/>
          <w:i w:val="false"/>
          <w:color w:val="000000"/>
          <w:sz w:val="22"/>
        </w:rPr>
        <w:t>Courses are designed to ensure that student progress is evaluated at appropriate intervals. The assessment process measures what each student has learned and not learned at regular intervals throughout each module of the course. The student completes and returns quizzes to the provider to receive credit for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2017.11(4)</w:t>
      </w:r>
      <w:r>
        <w:rPr>
          <w:rFonts w:ascii="Times New Roman" w:hAnsi="Times New Roman"/>
          <w:b w:val="false"/>
          <w:i w:val="false"/>
          <w:color w:val="000000"/>
          <w:sz w:val="22"/>
        </w:rPr>
        <w:t> </w:t>
      </w:r>
      <w:r>
        <w:rPr>
          <w:rFonts w:ascii="Times New Roman" w:hAnsi="Times New Roman"/>
          <w:b w:val="false"/>
          <w:i w:val="false"/>
          <w:color w:val="000000"/>
          <w:sz w:val="22"/>
        </w:rPr>
        <w:t xml:space="preserve"> Students completing paper and pencil home-study continuing education complete a final examination containing 10 questions for a one-hour course, 20 questions for a two-hour course, 30 questions for a three-hour course, 40 questions for a four-hour course, and 60 questions for a six- or eight-hour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2017.11(5)</w:t>
      </w:r>
      <w:r>
        <w:rPr>
          <w:rFonts w:ascii="Times New Roman" w:hAnsi="Times New Roman"/>
          <w:b w:val="false"/>
          <w:i w:val="false"/>
          <w:color w:val="000000"/>
          <w:sz w:val="22"/>
        </w:rPr>
        <w:t> </w:t>
      </w:r>
      <w:r>
        <w:rPr>
          <w:rFonts w:ascii="Times New Roman" w:hAnsi="Times New Roman"/>
          <w:b w:val="false"/>
          <w:i w:val="false"/>
          <w:color w:val="000000"/>
          <w:sz w:val="22"/>
        </w:rPr>
        <w:t>A passing score of 80 percent is needed for course credit to be granted. There is no limit to the number of times a final examination may be taken to achieve a passing score.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2017.11(6)</w:t>
      </w:r>
      <w:r>
        <w:rPr>
          <w:rFonts w:ascii="Times New Roman" w:hAnsi="Times New Roman"/>
          <w:b w:val="false"/>
          <w:i w:val="false"/>
          <w:color w:val="000000"/>
          <w:sz w:val="22"/>
        </w:rPr>
        <w:t> </w:t>
      </w:r>
      <w:r>
        <w:rPr>
          <w:rFonts w:ascii="Times New Roman" w:hAnsi="Times New Roman"/>
          <w:b w:val="false"/>
          <w:i w:val="false"/>
          <w:color w:val="000000"/>
          <w:sz w:val="22"/>
        </w:rPr>
        <w:t>A licensee has six months from the date of purchase to complete all quizzes and assignments and to pass the final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2017.11(7)</w:t>
      </w:r>
      <w:r>
        <w:rPr>
          <w:rFonts w:ascii="Times New Roman" w:hAnsi="Times New Roman"/>
          <w:b w:val="false"/>
          <w:i w:val="false"/>
          <w:color w:val="000000"/>
          <w:sz w:val="22"/>
        </w:rPr>
        <w:t> </w:t>
      </w:r>
      <w:r>
        <w:rPr>
          <w:rFonts w:ascii="Times New Roman" w:hAnsi="Times New Roman"/>
          <w:b w:val="false"/>
          <w:i w:val="false"/>
          <w:color w:val="000000"/>
          <w:sz w:val="22"/>
        </w:rPr>
        <w:t>The provider includes information that clearly informs the licensee of the course completion deadline, passing score needed, chapter quiz completion criteria and any other relevant information regarding the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2017.11(8)</w:t>
      </w:r>
      <w:r>
        <w:rPr>
          <w:rFonts w:ascii="Times New Roman" w:hAnsi="Times New Roman"/>
          <w:b w:val="false"/>
          <w:i w:val="false"/>
          <w:color w:val="000000"/>
          <w:sz w:val="22"/>
        </w:rPr>
        <w:t> </w:t>
      </w:r>
      <w:r>
        <w:rPr>
          <w:rFonts w:ascii="Times New Roman" w:hAnsi="Times New Roman"/>
          <w:b w:val="false"/>
          <w:i w:val="false"/>
          <w:color w:val="000000"/>
          <w:sz w:val="22"/>
        </w:rPr>
        <w:t>The provider states in the course materials that the information presented in the course should not be used as a substitute for competent legal advice.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2017.11(9)</w:t>
      </w:r>
      <w:r>
        <w:rPr>
          <w:rFonts w:ascii="Times New Roman" w:hAnsi="Times New Roman"/>
          <w:b w:val="false"/>
          <w:i w:val="false"/>
          <w:color w:val="000000"/>
          <w:sz w:val="22"/>
        </w:rPr>
        <w:t> </w:t>
      </w:r>
      <w:r>
        <w:rPr>
          <w:rFonts w:ascii="Times New Roman" w:hAnsi="Times New Roman"/>
          <w:b w:val="false"/>
          <w:i w:val="false"/>
          <w:color w:val="000000"/>
          <w:sz w:val="22"/>
        </w:rPr>
        <w:t>The provider retains a statement signed by the student that affirms that the student completed the necessary work and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2017.11(10)</w:t>
      </w:r>
      <w:r>
        <w:rPr>
          <w:rFonts w:ascii="Times New Roman" w:hAnsi="Times New Roman"/>
          <w:b w:val="false"/>
          <w:i w:val="false"/>
          <w:color w:val="000000"/>
          <w:sz w:val="22"/>
        </w:rPr>
        <w:t> </w:t>
      </w:r>
      <w:r>
        <w:rPr>
          <w:rFonts w:ascii="Times New Roman" w:hAnsi="Times New Roman"/>
          <w:b w:val="false"/>
          <w:i w:val="false"/>
          <w:color w:val="000000"/>
          <w:sz w:val="22"/>
        </w:rPr>
        <w:t>The provider is available to answer student questions or provide assistance as necessary during normal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2017.11(11)</w:t>
      </w:r>
      <w:r>
        <w:rPr>
          <w:rFonts w:ascii="Times New Roman" w:hAnsi="Times New Roman"/>
          <w:b w:val="false"/>
          <w:i w:val="false"/>
          <w:color w:val="000000"/>
          <w:sz w:val="22"/>
        </w:rPr>
        <w:t> </w:t>
      </w:r>
      <w:r>
        <w:rPr>
          <w:rFonts w:ascii="Times New Roman" w:hAnsi="Times New Roman"/>
          <w:b w:val="false"/>
          <w:i w:val="false"/>
          <w:color w:val="000000"/>
          <w:sz w:val="22"/>
        </w:rPr>
        <w:t>Courses submitted for approval are sufficient in scope and content to justify the hours requested by the provider.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7779C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