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481—2017.10</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distance learning courses. </w:t>
      </w:r>
      <w:r>
        <w:rPr>
          <w:rFonts w:ascii="Times New Roman" w:hAnsi="Times New Roman"/>
          <w:b w:val="false"/>
          <w:i w:val="false"/>
          <w:color w:val="000000"/>
          <w:sz w:val="22"/>
        </w:rPr>
        <w:t>The commission may approve distance learning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w:t>
      </w:r>
      <w:r>
        <w:rPr>
          <w:rFonts w:ascii="Times New Roman" w:hAnsi="Times New Roman"/>
          <w:b w:val="false"/>
          <w:i w:val="false"/>
          <w:color w:val="000000"/>
          <w:sz w:val="22"/>
        </w:rPr>
        <w:t> </w:t>
      </w:r>
      <w:r>
        <w:rPr>
          <w:rFonts w:ascii="Times New Roman" w:hAnsi="Times New Roman"/>
          <w:b w:val="false"/>
          <w:i w:val="false"/>
          <w:color w:val="000000"/>
          <w:sz w:val="22"/>
        </w:rPr>
        <w:t>The provider’s purpose or mission statement is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2017.10(2)</w:t>
      </w:r>
      <w:r>
        <w:rPr>
          <w:rFonts w:ascii="Times New Roman" w:hAnsi="Times New Roman"/>
          <w:b w:val="false"/>
          <w:i w:val="false"/>
          <w:color w:val="000000"/>
          <w:sz w:val="22"/>
        </w:rPr>
        <w:t> </w:t>
      </w:r>
      <w:r>
        <w:rPr>
          <w:rFonts w:ascii="Times New Roman" w:hAnsi="Times New Roman"/>
          <w:b w:val="false"/>
          <w:i w:val="false"/>
          <w:color w:val="000000"/>
          <w:sz w:val="22"/>
        </w:rPr>
        <w:t>The course outline includes clearly stated learning objectives and desired student competencies for each module of instruction and a description of how the program promotes interaction between the learner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2017.10(3)</w:t>
      </w:r>
      <w:r>
        <w:rPr>
          <w:rFonts w:ascii="Times New Roman" w:hAnsi="Times New Roman"/>
          <w:b w:val="false"/>
          <w:i w:val="false"/>
          <w:color w:val="000000"/>
          <w:sz w:val="22"/>
        </w:rPr>
        <w:t> </w:t>
      </w:r>
      <w:r>
        <w:rPr>
          <w:rFonts w:ascii="Times New Roman" w:hAnsi="Times New Roman"/>
          <w:b w:val="false"/>
          <w:i w:val="false"/>
          <w:color w:val="000000"/>
          <w:sz w:val="22"/>
        </w:rPr>
        <w:t>The course content is accurate and up-to-date. The provider describes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2017.10(4)</w:t>
      </w:r>
      <w:r>
        <w:rPr>
          <w:rFonts w:ascii="Times New Roman" w:hAnsi="Times New Roman"/>
          <w:b w:val="false"/>
          <w:i w:val="false"/>
          <w:color w:val="000000"/>
          <w:sz w:val="22"/>
        </w:rPr>
        <w:t> </w:t>
      </w:r>
      <w:r>
        <w:rPr>
          <w:rFonts w:ascii="Times New Roman" w:hAnsi="Times New Roman"/>
          <w:b w:val="false"/>
          <w:i w:val="false"/>
          <w:color w:val="000000"/>
          <w:sz w:val="22"/>
        </w:rPr>
        <w:t>The course is designed to ensure that student progress is evaluated at appropriate intervals and mastery of the material is achieved before a student can progress through the course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completing distance learning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2017.10(5)</w:t>
      </w:r>
      <w:r>
        <w:rPr>
          <w:rFonts w:ascii="Times New Roman" w:hAnsi="Times New Roman"/>
          <w:b w:val="false"/>
          <w:i w:val="false"/>
          <w:color w:val="000000"/>
          <w:sz w:val="22"/>
        </w:rPr>
        <w:t> </w:t>
      </w:r>
      <w:r>
        <w:rPr>
          <w:rFonts w:ascii="Times New Roman" w:hAnsi="Times New Roman"/>
          <w:b w:val="false"/>
          <w:i w:val="false"/>
          <w:color w:val="000000"/>
          <w:sz w:val="22"/>
        </w:rPr>
        <w:t>The provider shows that qualified individuals are involved in the design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2017.10(6)</w:t>
      </w:r>
      <w:r>
        <w:rPr>
          <w:rFonts w:ascii="Times New Roman" w:hAnsi="Times New Roman"/>
          <w:b w:val="false"/>
          <w:i w:val="false"/>
          <w:color w:val="000000"/>
          <w:sz w:val="22"/>
        </w:rPr>
        <w:t> </w:t>
      </w:r>
      <w:r>
        <w:rPr>
          <w:rFonts w:ascii="Times New Roman" w:hAnsi="Times New Roman"/>
          <w:b w:val="false"/>
          <w:i w:val="false"/>
          <w:color w:val="000000"/>
          <w:sz w:val="22"/>
        </w:rPr>
        <w:t>The provider lists individuals who provide technical support to students and state the specific times when support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2017.10(7)</w:t>
      </w:r>
      <w:r>
        <w:rPr>
          <w:rFonts w:ascii="Times New Roman" w:hAnsi="Times New Roman"/>
          <w:b w:val="false"/>
          <w:i w:val="false"/>
          <w:color w:val="000000"/>
          <w:sz w:val="22"/>
        </w:rPr>
        <w:t> </w:t>
      </w:r>
      <w:r>
        <w:rPr>
          <w:rFonts w:ascii="Times New Roman" w:hAnsi="Times New Roman"/>
          <w:b w:val="false"/>
          <w:i w:val="false"/>
          <w:color w:val="000000"/>
          <w:sz w:val="22"/>
        </w:rPr>
        <w:t>A manual is provided to each registered student. It includes, but is not limited to, faculty contact information, student assignments and course criteria, broadcast schedules, testing information, passing scores, resource information, fee schedule and refund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2017.10(8)</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2017.10(9)</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2017.10(10)</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2017.10(11)</w:t>
      </w:r>
      <w:r>
        <w:rPr>
          <w:rFonts w:ascii="Times New Roman" w:hAnsi="Times New Roman"/>
          <w:b w:val="false"/>
          <w:i w:val="false"/>
          <w:color w:val="000000"/>
          <w:sz w:val="22"/>
        </w:rPr>
        <w:t> </w:t>
      </w:r>
      <w:r>
        <w:rPr>
          <w:rFonts w:ascii="Times New Roman" w:hAnsi="Times New Roman"/>
          <w:b w:val="false"/>
          <w:i w:val="false"/>
          <w:color w:val="000000"/>
          <w:sz w:val="22"/>
        </w:rPr>
        <w:t>Courses that have obtained approval from the Association of Real Estate License Law Officials (ARELLO) are automatically approved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2017.10(12)</w:t>
      </w:r>
      <w:r>
        <w:rPr>
          <w:rFonts w:ascii="Times New Roman" w:hAnsi="Times New Roman"/>
          <w:b w:val="false"/>
          <w:i w:val="false"/>
          <w:color w:val="000000"/>
          <w:sz w:val="22"/>
        </w:rPr>
        <w:t> </w:t>
      </w:r>
      <w:r>
        <w:rPr>
          <w:rFonts w:ascii="Times New Roman" w:hAnsi="Times New Roman"/>
          <w:b w:val="false"/>
          <w:i w:val="false"/>
          <w:color w:val="000000"/>
          <w:sz w:val="22"/>
        </w:rPr>
        <w:t>All computer-based continuing education and prelicense courses are completed within six months of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