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481—2016.6</w:t>
      </w:r>
      <w:r>
        <w:rPr>
          <w:rFonts w:ascii="Times New Roman" w:hAnsi="Times New Roman"/>
          <w:b/>
          <w:i w:val="false"/>
          <w:color w:val="000000"/>
          <w:sz w:val="22"/>
        </w:rPr>
        <w:t xml:space="preserve">(543B) </w:t>
      </w:r>
      <w:r>
        <w:rPr>
          <w:rFonts w:ascii="Times New Roman" w:hAnsi="Times New Roman"/>
          <w:b/>
          <w:i w:val="false"/>
          <w:color w:val="000000"/>
          <w:sz w:val="22"/>
        </w:rPr>
        <w:t xml:space="preserve">Reactivating an inactive license. </w:t>
      </w:r>
      <w:r>
        <w:rPr>
          <w:rFonts w:ascii="Times New Roman" w:hAnsi="Times New Roman"/>
          <w:b w:val="false"/>
          <w:i w:val="false"/>
          <w:color w:val="000000"/>
          <w:sz w:val="22"/>
        </w:rPr>
        <w:t>A license may be renewed without the necessary continuing education, but it is only renewed to an inactive status. Prior to reactivating a license that has been issued inactive due to failure to submit evidence of continuing education, the licensee submits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