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481—2016.5</w:t>
      </w:r>
      <w:r>
        <w:rPr>
          <w:rFonts w:ascii="Times New Roman" w:hAnsi="Times New Roman"/>
          <w:b/>
          <w:i w:val="false"/>
          <w:color w:val="000000"/>
          <w:sz w:val="22"/>
        </w:rPr>
        <w:t xml:space="preserve">(543B) </w:t>
      </w:r>
      <w:r>
        <w:rPr>
          <w:rFonts w:ascii="Times New Roman" w:hAnsi="Times New Roman"/>
          <w:b/>
          <w:i w:val="false"/>
          <w:color w:val="000000"/>
          <w:sz w:val="22"/>
        </w:rPr>
        <w:t xml:space="preserve">Continuing education records. </w:t>
      </w:r>
      <w:r>
        <w:rPr>
          <w:rFonts w:ascii="Times New Roman" w:hAnsi="Times New Roman"/>
          <w:b w:val="false"/>
          <w:i w:val="false"/>
          <w:color w:val="000000"/>
          <w:sz w:val="22"/>
        </w:rPr>
        <w:t xml:space="preserve">Applicants for license renewal pursuant to Iowa Code section </w:t>
      </w:r>
      <w:hyperlink r:id="rId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xml:space="preserve"> certify that the number of hours of continuing education needed to renew a license was completed as described in rule </w:t>
      </w:r>
      <w:hyperlink r:id="rId5">
        <w:r>
          <w:rPr>
            <w:rStyle w:val="Hyperlink"/>
            <w:rFonts w:ascii="Times New Roman" w:hAnsi="Times New Roman"/>
            <w:b w:val="false"/>
            <w:i w:val="false"/>
            <w:color w:val="000000"/>
            <w:sz w:val="22"/>
          </w:rPr>
          <w:t>481—2016.4</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2016.5(1)</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education claimed by the licensee. It is the responsibility of the licensee to maintain records that support the continuing education claimed and the validity of the credits. Documentation is retained by the licensee for a period of six years after the effective date of the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2016.5(2)</w:t>
      </w:r>
      <w:r>
        <w:rPr>
          <w:rFonts w:ascii="Times New Roman" w:hAnsi="Times New Roman"/>
          <w:b w:val="false"/>
          <w:i w:val="false"/>
          <w:color w:val="000000"/>
          <w:sz w:val="22"/>
        </w:rPr>
        <w:t> </w:t>
      </w:r>
      <w:r>
        <w:rPr>
          <w:rFonts w:ascii="Times New Roman" w:hAnsi="Times New Roman"/>
          <w:b w:val="false"/>
          <w:i w:val="false"/>
          <w:color w:val="000000"/>
          <w:sz w:val="22"/>
        </w:rPr>
        <w:t>It will not be acceptable for a licensee to include on a renewal application continuing education which has not yet been completed, is outside the renewal period, or for which prior approval or postapproval has not been previously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2016.5(3)</w:t>
      </w:r>
      <w:r>
        <w:rPr>
          <w:rFonts w:ascii="Times New Roman" w:hAnsi="Times New Roman"/>
          <w:b w:val="false"/>
          <w:i w:val="false"/>
          <w:color w:val="000000"/>
          <w:sz w:val="22"/>
        </w:rPr>
        <w:t> </w:t>
      </w:r>
      <w:r>
        <w:rPr>
          <w:rFonts w:ascii="Times New Roman" w:hAnsi="Times New Roman"/>
          <w:b w:val="false"/>
          <w:i w:val="false"/>
          <w:color w:val="000000"/>
          <w:sz w:val="22"/>
        </w:rPr>
        <w:t>Failure to provide necessary evidence of completion of claimed education within 30 days of the written notice from the commission results in the license’s being placed on inactive status. Prior to activating a license that has been placed on inactive status pursuant to this provision, the licensee submits to the commission satisfactory evidence that all necessary continuing education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2016.5(4)</w:t>
      </w:r>
      <w:r>
        <w:rPr>
          <w:rFonts w:ascii="Times New Roman" w:hAnsi="Times New Roman"/>
          <w:b w:val="false"/>
          <w:i w:val="false"/>
          <w:color w:val="000000"/>
          <w:sz w:val="22"/>
        </w:rPr>
        <w:t> </w:t>
      </w:r>
      <w:r>
        <w:rPr>
          <w:rFonts w:ascii="Times New Roman" w:hAnsi="Times New Roman"/>
          <w:b w:val="false"/>
          <w:i w:val="false"/>
          <w:color w:val="000000"/>
          <w:sz w:val="22"/>
        </w:rPr>
        <w:t xml:space="preserve">Filing a false affirmation is prima facie evidence of a violation of Iowa Code section </w:t>
      </w:r>
      <w:hyperlink r:id="rId6">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9480C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15.pdf" Type="http://schemas.openxmlformats.org/officeDocument/2006/relationships/hyperlink" Id="rId4"/>
    <Relationship TargetMode="External" Target="https://www.legis.iowa.gov/docs/iac/rule/481.2016.4.pdf" Type="http://schemas.openxmlformats.org/officeDocument/2006/relationships/hyperlink" Id="rId5"/>
    <Relationship TargetMode="External" Target="https://www.legis.iowa.gov/docs/ico/chapter/543B.2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