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481—2016.4</w:t>
      </w:r>
      <w:r>
        <w:rPr>
          <w:rFonts w:ascii="Times New Roman" w:hAnsi="Times New Roman"/>
          <w:b/>
          <w:i w:val="false"/>
          <w:color w:val="000000"/>
          <w:sz w:val="22"/>
        </w:rPr>
        <w:t xml:space="preserve">(543B) </w:t>
      </w:r>
      <w:r>
        <w:rPr>
          <w:rFonts w:ascii="Times New Roman" w:hAnsi="Times New Roman"/>
          <w:b/>
          <w:i w:val="false"/>
          <w:color w:val="000000"/>
          <w:sz w:val="22"/>
        </w:rPr>
        <w:t xml:space="preserve">Continuing education criteria.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2016.4(1)</w:t>
      </w:r>
      <w:r>
        <w:rPr>
          <w:rFonts w:ascii="Times New Roman" w:hAnsi="Times New Roman"/>
          <w:b w:val="false"/>
          <w:i w:val="false"/>
          <w:color w:val="000000"/>
          <w:sz w:val="22"/>
        </w:rPr>
        <w:t> </w:t>
      </w:r>
      <w:r>
        <w:rPr>
          <w:rFonts w:ascii="Times New Roman" w:hAnsi="Times New Roman"/>
          <w:b w:val="false"/>
          <w:i w:val="false"/>
          <w:color w:val="000000"/>
          <w:sz w:val="22"/>
        </w:rPr>
        <w:t>All individual real estate licenses are issued for three-year terms, counting the remaining portion of the year of issue as a full year. All individual licenses expire on December 31 of the third year of the license term.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2016.4(2)</w:t>
      </w:r>
      <w:r>
        <w:rPr>
          <w:rFonts w:ascii="Times New Roman" w:hAnsi="Times New Roman"/>
          <w:b w:val="false"/>
          <w:i w:val="false"/>
          <w:color w:val="000000"/>
          <w:sz w:val="22"/>
        </w:rPr>
        <w:t> </w:t>
      </w:r>
      <w:r>
        <w:rPr>
          <w:rFonts w:ascii="Times New Roman" w:hAnsi="Times New Roman"/>
          <w:b w:val="false"/>
          <w:i w:val="false"/>
          <w:color w:val="000000"/>
          <w:sz w:val="22"/>
        </w:rPr>
        <w:t>As a criteria of license renewal in an active status, each real estate licensee completes a minimum of 36 hours of approved programs, courses or activities. Licensees who complete continuing education hours in excess of the requirements for renewal may apply up to 50 percent of the required hours to the following renewal period. Licensees may apply a maximum of 18 hours from the previous renewal period. Licensees cannot carry over any hours toward the mandatory eight-hour law update course nor the four-hour ethics course. Approved courses in the following subjects are completed to renew a license to active status:</w:t>
      </w:r>
    </w:p>
    <w:p>
      <w:pPr>
        <w:spacing w:before="0" w:after="0"/>
        <w:ind w:left="120"/>
        <w:jc w:val="both"/>
      </w:pPr>
      <w:r>
        <w:rPr>
          <w:rFonts w:ascii="Times New Roman" w:hAnsi="Times New Roman"/>
          <w:b w:val="false"/>
          <w:i w:val="false"/>
          <w:color w:val="000000"/>
          <w:sz w:val="22"/>
        </w:rPr>
        <w:t>Law Update</w:t>
      </w:r>
      <w:r>
        <w:rPr>
          <w:rFonts w:ascii="Times New Roman" w:hAnsi="Times New Roman"/>
          <w:b w:val="false"/>
          <w:i w:val="false"/>
          <w:color w:val="000000"/>
          <w:sz w:val="22"/>
        </w:rPr>
        <w:t>8 hours</w:t>
      </w:r>
    </w:p>
    <w:p>
      <w:pPr>
        <w:spacing w:before="0" w:after="0"/>
        <w:ind w:left="120"/>
        <w:jc w:val="both"/>
      </w:pPr>
      <w:r>
        <w:rPr>
          <w:rFonts w:ascii="Times New Roman" w:hAnsi="Times New Roman"/>
          <w:b w:val="false"/>
          <w:i w:val="false"/>
          <w:color w:val="000000"/>
          <w:sz w:val="22"/>
        </w:rPr>
        <w:t>Ethics</w:t>
      </w:r>
      <w:r>
        <w:rPr>
          <w:rFonts w:ascii="Times New Roman" w:hAnsi="Times New Roman"/>
          <w:b w:val="false"/>
          <w:i w:val="false"/>
          <w:color w:val="000000"/>
          <w:sz w:val="22"/>
        </w:rPr>
        <w:t>4 hours</w:t>
      </w:r>
    </w:p>
    <w:p>
      <w:pPr>
        <w:spacing w:before="0" w:after="0"/>
        <w:ind w:left="120"/>
        <w:jc w:val="both"/>
      </w:pPr>
      <w:r>
        <w:rPr>
          <w:rFonts w:ascii="Times New Roman" w:hAnsi="Times New Roman"/>
          <w:b w:val="false"/>
          <w:i w:val="false"/>
          <w:color w:val="000000"/>
          <w:sz w:val="22"/>
        </w:rPr>
        <w:t>Electives</w:t>
      </w:r>
      <w:r>
        <w:rPr>
          <w:rFonts w:ascii="Times New Roman" w:hAnsi="Times New Roman"/>
          <w:b w:val="false"/>
          <w:i w:val="false"/>
          <w:color w:val="000000"/>
          <w:sz w:val="22"/>
        </w:rPr>
        <w:t>24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2016.4(3)</w:t>
      </w:r>
      <w:r>
        <w:rPr>
          <w:rFonts w:ascii="Times New Roman" w:hAnsi="Times New Roman"/>
          <w:b w:val="false"/>
          <w:i w:val="false"/>
          <w:color w:val="000000"/>
          <w:sz w:val="22"/>
        </w:rPr>
        <w:t> </w:t>
      </w:r>
      <w:r>
        <w:rPr>
          <w:rFonts w:ascii="Times New Roman" w:hAnsi="Times New Roman"/>
          <w:b w:val="false"/>
          <w:i w:val="false"/>
          <w:color w:val="000000"/>
          <w:sz w:val="22"/>
        </w:rPr>
        <w:t>During each three-year renewal period a course may be taken for credit only once. A course may be repeated for credit only if the course numbers and instructors are different.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2016.4(4)</w:t>
      </w:r>
      <w:r>
        <w:rPr>
          <w:rFonts w:ascii="Times New Roman" w:hAnsi="Times New Roman"/>
          <w:b w:val="false"/>
          <w:i w:val="false"/>
          <w:color w:val="000000"/>
          <w:sz w:val="22"/>
        </w:rPr>
        <w:t> </w:t>
      </w:r>
      <w:r>
        <w:rPr>
          <w:rFonts w:ascii="Times New Roman" w:hAnsi="Times New Roman"/>
          <w:b w:val="false"/>
          <w:i w:val="false"/>
          <w:color w:val="000000"/>
          <w:sz w:val="22"/>
        </w:rPr>
        <w:t>A maximum of 24 hours of continuing education may be taken by distance/online learning each three-year renewal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2016.4(5)</w:t>
      </w:r>
      <w:r>
        <w:rPr>
          <w:rFonts w:ascii="Times New Roman" w:hAnsi="Times New Roman"/>
          <w:b w:val="false"/>
          <w:i w:val="false"/>
          <w:color w:val="000000"/>
          <w:sz w:val="22"/>
        </w:rPr>
        <w:t> </w:t>
      </w:r>
      <w:r>
        <w:rPr>
          <w:rFonts w:ascii="Times New Roman" w:hAnsi="Times New Roman"/>
          <w:b w:val="false"/>
          <w:i w:val="false"/>
          <w:color w:val="000000"/>
          <w:sz w:val="22"/>
        </w:rPr>
        <w:t>A licensee unable to attend educational offerings because of a disability may make a written request to the commission setting forth an explanation and verification of the disability. Licensees making requests need to meet the definition of a person with a disability found in the Americans with Disabilities Act as amended by the ADA Amendments Act of 2008 (ADAAA).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2016.4(6)</w:t>
      </w:r>
      <w:r>
        <w:rPr>
          <w:rFonts w:ascii="Times New Roman" w:hAnsi="Times New Roman"/>
          <w:b w:val="false"/>
          <w:i w:val="false"/>
          <w:color w:val="000000"/>
          <w:sz w:val="22"/>
        </w:rPr>
        <w:t> </w:t>
      </w:r>
      <w:r>
        <w:rPr>
          <w:rFonts w:ascii="Times New Roman" w:hAnsi="Times New Roman"/>
          <w:b w:val="false"/>
          <w:i w:val="false"/>
          <w:color w:val="000000"/>
          <w:sz w:val="22"/>
        </w:rPr>
        <w:t>In addition to courses approved directly by the commission, the following will be deemed acceptable as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Credits earned in a state which has a continuing education criteria for renewal of a license if the course is approved by the real estate licensing board of that state for credit for renewal. However, state-specific courses are not acceptable.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Courses sponsored by the National Association of Realtors (NAR) or its affiliates.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9480C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