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481—2016.3</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prelicense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2016.3(1)</w:t>
      </w:r>
      <w:r>
        <w:rPr>
          <w:rFonts w:ascii="Times New Roman" w:hAnsi="Times New Roman"/>
          <w:b w:val="false"/>
          <w:i w:val="false"/>
          <w:color w:val="000000"/>
          <w:sz w:val="22"/>
        </w:rPr>
        <w:t> </w:t>
      </w:r>
      <w:r>
        <w:rPr>
          <w:rFonts w:ascii="Times New Roman" w:hAnsi="Times New Roman"/>
          <w:b w:val="false"/>
          <w:i/>
          <w:color w:val="000000"/>
          <w:sz w:val="22"/>
        </w:rPr>
        <w:t xml:space="preserve">Mandatory course of study. </w:t>
      </w:r>
      <w:r>
        <w:rPr>
          <w:rFonts w:ascii="Times New Roman" w:hAnsi="Times New Roman"/>
          <w:b w:val="false"/>
          <w:i w:val="false"/>
          <w:color w:val="000000"/>
          <w:sz w:val="22"/>
        </w:rPr>
        <w:t xml:space="preserve">The mandatory course of study to take the broker examination consists of Iowa Code section </w:t>
      </w:r>
      <w:hyperlink r:id="rId4">
        <w:r>
          <w:rPr>
            <w:rStyle w:val="Hyperlink"/>
            <w:rFonts w:ascii="Times New Roman" w:hAnsi="Times New Roman"/>
            <w:b w:val="false"/>
            <w:i w:val="false"/>
            <w:color w:val="000000"/>
            <w:sz w:val="22"/>
          </w:rPr>
          <w:t>543B.15(7)</w:t>
        </w:r>
      </w:hyperlink>
      <w:r>
        <w:rPr>
          <w:rFonts w:ascii="Times New Roman" w:hAnsi="Times New Roman"/>
          <w:b w:val="false"/>
          <w:i w:val="false"/>
          <w:color w:val="000000"/>
          <w:sz w:val="22"/>
        </w:rPr>
        <w:t>. Approved courses include the following subjects:</w:t>
      </w:r>
    </w:p>
    <w:p>
      <w:pPr>
        <w:spacing w:before="0" w:after="0"/>
        <w:ind w:left="120"/>
        <w:jc w:val="both"/>
      </w:pPr>
      <w:r>
        <w:rPr>
          <w:rFonts w:ascii="Times New Roman" w:hAnsi="Times New Roman"/>
          <w:b w:val="false"/>
          <w:i w:val="false"/>
          <w:color w:val="000000"/>
          <w:sz w:val="22"/>
        </w:rPr>
        <w:t>Contract Law and Contract Writing</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Iowa Real Estate Trust Accounts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Principles of Appraising and Market Analysis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Law and Agency Law</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Finance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Federal and State Laws Affecting Iowa Practice</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Real Estate Office Organization, Administration and Human Resources</w:t>
      </w:r>
      <w:r>
        <w:rPr>
          <w:rFonts w:ascii="Times New Roman" w:hAnsi="Times New Roman"/>
          <w:b w:val="false"/>
          <w:i w:val="false"/>
          <w:color w:val="000000"/>
          <w:sz w:val="22"/>
        </w:rPr>
        <w:t>12 hours</w:t>
      </w:r>
    </w:p>
    <w:p>
      <w:pPr>
        <w:spacing w:before="0" w:after="0"/>
        <w:ind w:left="120"/>
        <w:jc w:val="both"/>
      </w:pPr>
      <w:r>
        <w:rPr>
          <w:rFonts w:ascii="Times New Roman" w:hAnsi="Times New Roman"/>
          <w:b w:val="false"/>
          <w:i w:val="false"/>
          <w:color w:val="000000"/>
          <w:sz w:val="22"/>
        </w:rPr>
        <w:t>Real Estate Technology and Data Security</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Ethics and Safety Issues for Brokers</w:t>
      </w:r>
      <w:r>
        <w:rPr>
          <w:rFonts w:ascii="Times New Roman" w:hAnsi="Times New Roman"/>
          <w:b w:val="false"/>
          <w:i w:val="false"/>
          <w:color w:val="000000"/>
          <w:sz w:val="22"/>
        </w:rPr>
        <w:t>6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2016.3(2)</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prelicense education. </w:t>
      </w:r>
      <w:r>
        <w:rPr>
          <w:rFonts w:ascii="Times New Roman" w:hAnsi="Times New Roman"/>
          <w:b w:val="false"/>
          <w:i w:val="false"/>
          <w:color w:val="000000"/>
          <w:sz w:val="22"/>
        </w:rPr>
        <w:t xml:space="preserve">Successful completion of the broker prelicense education includes passage of an examination(s) designed by the approved provider that is sufficiently comprehensive to measure the student’s knowledge of all aspects of the course(s). Times allotted for examinations may be regarded as hours of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2016.3(3)</w:t>
      </w:r>
      <w:r>
        <w:rPr>
          <w:rFonts w:ascii="Times New Roman" w:hAnsi="Times New Roman"/>
          <w:b w:val="false"/>
          <w:i w:val="false"/>
          <w:color w:val="000000"/>
          <w:sz w:val="22"/>
        </w:rPr>
        <w:t> </w:t>
      </w:r>
      <w:r>
        <w:rPr>
          <w:rFonts w:ascii="Times New Roman" w:hAnsi="Times New Roman"/>
          <w:b w:val="false"/>
          <w:i/>
          <w:color w:val="000000"/>
          <w:sz w:val="22"/>
        </w:rPr>
        <w:t xml:space="preserve">Substitution of courses. </w:t>
      </w:r>
      <w:r>
        <w:rPr>
          <w:rFonts w:ascii="Times New Roman" w:hAnsi="Times New Roman"/>
          <w:b w:val="false"/>
          <w:i w:val="false"/>
          <w:color w:val="000000"/>
          <w:sz w:val="22"/>
        </w:rPr>
        <w:t xml:space="preserve">Written requests for substitution of the broker prelicense education courses specified in subrule </w:t>
      </w:r>
      <w:hyperlink r:id="rId5">
        <w:r>
          <w:rPr>
            <w:rStyle w:val="Hyperlink"/>
            <w:rFonts w:ascii="Times New Roman" w:hAnsi="Times New Roman"/>
            <w:b w:val="false"/>
            <w:i w:val="false"/>
            <w:color w:val="000000"/>
            <w:sz w:val="22"/>
          </w:rPr>
          <w:t>2016.3(1)</w:t>
        </w:r>
      </w:hyperlink>
      <w:r>
        <w:rPr>
          <w:rFonts w:ascii="Times New Roman" w:hAnsi="Times New Roman"/>
          <w:b w:val="false"/>
          <w:i w:val="false"/>
          <w:color w:val="000000"/>
          <w:sz w:val="22"/>
        </w:rPr>
        <w:t xml:space="preserve"> may be granted if the applicant submits evidence of successful completion of a course or courses which are substantially similar to the courses specified in subrule </w:t>
      </w:r>
      <w:hyperlink r:id="rId6">
        <w:r>
          <w:rPr>
            <w:rStyle w:val="Hyperlink"/>
            <w:rFonts w:ascii="Times New Roman" w:hAnsi="Times New Roman"/>
            <w:b w:val="false"/>
            <w:i w:val="false"/>
            <w:color w:val="000000"/>
            <w:sz w:val="22"/>
          </w:rPr>
          <w:t>2016.3(1)</w:t>
        </w:r>
      </w:hyperlink>
      <w:r>
        <w:rPr>
          <w:rFonts w:ascii="Times New Roman" w:hAnsi="Times New Roman"/>
          <w:b w:val="false"/>
          <w:i w:val="false"/>
          <w:color w:val="000000"/>
          <w:sz w:val="22"/>
        </w:rPr>
        <w:t>. Any course completed more than 24 months prior to commission consideration for approval does not qualify for substitution.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ac/rule/481.2016.3.pdf" Type="http://schemas.openxmlformats.org/officeDocument/2006/relationships/hyperlink" Id="rId5"/>
    <Relationship TargetMode="External" Target="https://www.legis.iowa.gov/docs/iac/rule/481.2016.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