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481—2016.2</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prelicense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2016.2(1)</w:t>
      </w:r>
      <w:r>
        <w:rPr>
          <w:rFonts w:ascii="Times New Roman" w:hAnsi="Times New Roman"/>
          <w:b w:val="false"/>
          <w:i w:val="false"/>
          <w:color w:val="000000"/>
          <w:sz w:val="22"/>
        </w:rPr>
        <w:t> </w:t>
      </w:r>
      <w:r>
        <w:rPr>
          <w:rFonts w:ascii="Times New Roman" w:hAnsi="Times New Roman"/>
          <w:b w:val="false"/>
          <w:i/>
          <w:color w:val="000000"/>
          <w:sz w:val="22"/>
        </w:rPr>
        <w:t xml:space="preserve">Mandatory course of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course of study for the salesperson licensing examination consists of 60 live instruction or distance/online learning hours of real estate principles and practices to comply with the criteria of Iowa Code section </w:t>
      </w:r>
      <w:hyperlink r:id="rId4">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The curriculum includes, but is not limited to, the following subjects:</w:t>
      </w:r>
    </w:p>
    <w:p>
      <w:pPr>
        <w:spacing w:before="0" w:after="0"/>
        <w:ind w:left="120"/>
        <w:jc w:val="both"/>
      </w:pPr>
      <w:r>
        <w:rPr>
          <w:rFonts w:ascii="Times New Roman" w:hAnsi="Times New Roman"/>
          <w:b w:val="false"/>
          <w:i w:val="false"/>
          <w:color w:val="000000"/>
          <w:sz w:val="22"/>
        </w:rPr>
        <w:t>Introduction to Real Estate and Iowa License Law</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Ownership, Encumbrances, Legal Descriptions, Transfer of Title and Closing</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Contracts, Agency and Antitrust</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Valuation, Finance and Real Estate Math</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Property Management/Leasing, Fair Housing, Environmental Risks</w:t>
      </w:r>
    </w:p>
    <w:p>
      <w:pPr>
        <w:spacing w:before="0" w:after="0"/>
        <w:ind w:left="120"/>
        <w:jc w:val="both"/>
      </w:pPr>
      <w:r>
        <w:rPr>
          <w:rFonts w:ascii="Times New Roman" w:hAnsi="Times New Roman"/>
          <w:b w:val="false"/>
          <w:i w:val="false"/>
          <w:color w:val="000000"/>
          <w:sz w:val="22"/>
        </w:rPr>
        <w:t>and Health Issues</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submission of an application, an applicant applying for an original salesperson license also provides evidence of the following live instruction courses: 12 hours of Developing Professionalism and Ethical Practices, 12 hours of Buying Practices and 12 hours of Listing Practices. All the necessary education is completed during the 12 months prior to the date the application is postmarked or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2016.2(2)</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prelicense education. </w:t>
      </w:r>
      <w:r>
        <w:rPr>
          <w:rFonts w:ascii="Times New Roman" w:hAnsi="Times New Roman"/>
          <w:b w:val="false"/>
          <w:i w:val="false"/>
          <w:color w:val="000000"/>
          <w:sz w:val="22"/>
        </w:rPr>
        <w:t>Successful completion of the salesperson prelicense education includes passage of an examination(s) designed by the approved provider that is sufficiently comprehensive to measure the student’s knowledge of all aspects of the course(s). Times allotted for examinations may be regarded as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2016.2(3)</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courses. </w:t>
      </w:r>
      <w:r>
        <w:rPr>
          <w:rFonts w:ascii="Times New Roman" w:hAnsi="Times New Roman"/>
          <w:b w:val="false"/>
          <w:i w:val="false"/>
          <w:color w:val="000000"/>
          <w:sz w:val="22"/>
        </w:rPr>
        <w:t xml:space="preserve">Written requests for substitution of the salesperson prelicense education courses specified in subrule </w:t>
      </w:r>
      <w:hyperlink r:id="rId5">
        <w:r>
          <w:rPr>
            <w:rStyle w:val="Hyperlink"/>
            <w:rFonts w:ascii="Times New Roman" w:hAnsi="Times New Roman"/>
            <w:b w:val="false"/>
            <w:i w:val="false"/>
            <w:color w:val="000000"/>
            <w:sz w:val="22"/>
          </w:rPr>
          <w:t>2016.2(1)</w:t>
        </w:r>
      </w:hyperlink>
      <w:r>
        <w:rPr>
          <w:rFonts w:ascii="Times New Roman" w:hAnsi="Times New Roman"/>
          <w:b w:val="false"/>
          <w:i w:val="false"/>
          <w:color w:val="000000"/>
          <w:sz w:val="22"/>
        </w:rPr>
        <w:t xml:space="preserve"> may be granted if the applicant submits evidence of successful completion of a course or courses which are substantially similar to the courses specified in subrule </w:t>
      </w:r>
      <w:hyperlink r:id="rId6">
        <w:r>
          <w:rPr>
            <w:rStyle w:val="Hyperlink"/>
            <w:rFonts w:ascii="Times New Roman" w:hAnsi="Times New Roman"/>
            <w:b w:val="false"/>
            <w:i w:val="false"/>
            <w:color w:val="000000"/>
            <w:sz w:val="22"/>
          </w:rPr>
          <w:t>2016.2(1)</w:t>
        </w:r>
      </w:hyperlink>
      <w:r>
        <w:rPr>
          <w:rFonts w:ascii="Times New Roman" w:hAnsi="Times New Roman"/>
          <w:b w:val="false"/>
          <w:i w:val="false"/>
          <w:color w:val="000000"/>
          <w:sz w:val="22"/>
        </w:rPr>
        <w:t>. Courses completed more than 12 months prior to commission consideration for approval do not qualify for substitution.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15.pdf" Type="http://schemas.openxmlformats.org/officeDocument/2006/relationships/hyperlink" Id="rId4"/>
    <Relationship TargetMode="External" Target="https://www.legis.iowa.gov/docs/iac/rule/481.2016.2.pdf" Type="http://schemas.openxmlformats.org/officeDocument/2006/relationships/hyperlink" Id="rId5"/>
    <Relationship TargetMode="External" Target="https://www.legis.iowa.gov/docs/iac/rule/481.2016.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