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481—2016.11</w:t>
      </w:r>
      <w:r>
        <w:rPr>
          <w:rFonts w:ascii="Times New Roman" w:hAnsi="Times New Roman"/>
          <w:b/>
          <w:i w:val="false"/>
          <w:color w:val="000000"/>
          <w:sz w:val="22"/>
        </w:rPr>
        <w:t xml:space="preserve">(543B) </w:t>
      </w:r>
      <w:r>
        <w:rPr>
          <w:rFonts w:ascii="Times New Roman" w:hAnsi="Times New Roman"/>
          <w:b/>
          <w:i w:val="false"/>
          <w:color w:val="000000"/>
          <w:sz w:val="22"/>
        </w:rPr>
        <w:t xml:space="preserve">Requests for prior approval or postapproval of a course(s). </w:t>
      </w:r>
      <w:r>
        <w:rPr>
          <w:rFonts w:ascii="Times New Roman" w:hAnsi="Times New Roman"/>
          <w:b w:val="false"/>
          <w:i w:val="false"/>
          <w:color w:val="000000"/>
          <w:sz w:val="22"/>
        </w:rPr>
        <w:t>A licensee seeking credit for attendance and participation in a course, program, or other continuing education activity that is to be conducted by a school not otherwise approved by the commission may apply for approval to the commission at least 21 days in advance of the beginning of the activity. The commission approves or denies the application in writing within 14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2016.11(1)</w:t>
      </w:r>
      <w:r>
        <w:rPr>
          <w:rFonts w:ascii="Times New Roman" w:hAnsi="Times New Roman"/>
          <w:b w:val="false"/>
          <w:i w:val="false"/>
          <w:color w:val="000000"/>
          <w:sz w:val="22"/>
        </w:rPr>
        <w:t> </w:t>
      </w:r>
      <w:r>
        <w:rPr>
          <w:rFonts w:ascii="Times New Roman" w:hAnsi="Times New Roman"/>
          <w:b w:val="false"/>
          <w:i w:val="false"/>
          <w:color w:val="000000"/>
          <w:sz w:val="22"/>
        </w:rPr>
        <w:t>The application for prior 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or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and brief description of the activity or title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2016.11(2)</w:t>
      </w:r>
      <w:r>
        <w:rPr>
          <w:rFonts w:ascii="Times New Roman" w:hAnsi="Times New Roman"/>
          <w:b w:val="false"/>
          <w:i w:val="false"/>
          <w:color w:val="000000"/>
          <w:sz w:val="22"/>
        </w:rPr>
        <w:t> </w:t>
      </w:r>
      <w:r>
        <w:rPr>
          <w:rFonts w:ascii="Times New Roman" w:hAnsi="Times New Roman"/>
          <w:b w:val="false"/>
          <w:i w:val="false"/>
          <w:color w:val="000000"/>
          <w:sz w:val="22"/>
        </w:rPr>
        <w:t>The application for postapproval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firm,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description of activity,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Verification of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