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481—2013.6</w:t>
      </w:r>
      <w:r>
        <w:rPr>
          <w:rFonts w:ascii="Times New Roman" w:hAnsi="Times New Roman"/>
          <w:b/>
          <w:i w:val="false"/>
          <w:color w:val="000000"/>
          <w:sz w:val="22"/>
        </w:rPr>
        <w:t xml:space="preserve">(543B) </w:t>
      </w:r>
      <w:r>
        <w:rPr>
          <w:rFonts w:ascii="Times New Roman" w:hAnsi="Times New Roman"/>
          <w:b/>
          <w:i w:val="false"/>
          <w:color w:val="000000"/>
          <w:sz w:val="22"/>
        </w:rPr>
        <w:t xml:space="preserve">Licensee acting as a principal. </w:t>
      </w:r>
      <w:r>
        <w:rPr>
          <w:rFonts w:ascii="Times New Roman" w:hAnsi="Times New Roman"/>
          <w:b w:val="false"/>
          <w:i w:val="false"/>
          <w:color w:val="000000"/>
          <w:sz w:val="22"/>
        </w:rPr>
        <w:t>When a licensee is acting in the capacity of a real estate broker, broker associate or salesperson and is also a principal in the sale, lease, rental or exchange of property owned by the licensee, all payments, rent, or security deposits received from the lessee, renter or buyer are deposited into the broker’s trust account. The use of the broker’s trust account is not needed if all of the following exist: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sale, rental, or exchange is strictly, clearly and completely a “by owner” transaction and there is not a listing or brokerage agreement;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No commission or other compensation is paid to or received by the licensee;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licensee does not function throughout the transaction in any capacity requiring a real estate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