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481—2013.2</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transactions. </w:t>
      </w:r>
      <w:r>
        <w:rPr>
          <w:rFonts w:ascii="Times New Roman" w:hAnsi="Times New Roman"/>
          <w:b w:val="false"/>
          <w:i w:val="false"/>
          <w:color w:val="000000"/>
          <w:sz w:val="22"/>
        </w:rPr>
        <w:t>It is mandatory for every broker to deliver to the seller in every real estate transaction, at the time the transaction is consummated, a complete detailed statement, showing all of the receipts and disbursements handled by the broker. Also, the broker at the same time delivers to the buyer a complete statement showing all moneys received in the transaction from the buyer and how and for what the same were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2013.2(1)</w:t>
      </w:r>
      <w:r>
        <w:rPr>
          <w:rFonts w:ascii="Times New Roman" w:hAnsi="Times New Roman"/>
          <w:b w:val="false"/>
          <w:i w:val="false"/>
          <w:color w:val="000000"/>
          <w:sz w:val="22"/>
        </w:rPr>
        <w:t> </w:t>
      </w:r>
      <w:r>
        <w:rPr>
          <w:rFonts w:ascii="Times New Roman" w:hAnsi="Times New Roman"/>
          <w:b w:val="false"/>
          <w:i w:val="false"/>
          <w:color w:val="000000"/>
          <w:sz w:val="22"/>
        </w:rPr>
        <w:t>In the event all funds being held by the broker for a transaction cannot be disbursed at the time of closing, the broker obtains an escrow agreement signed by both parties to the transaction which directs the broker regarding the future disbursement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retains all trust account records and a complete file, which includes but is not limited to the records mandated by rule </w:t>
      </w:r>
      <w:hyperlink r:id="rId4">
        <w:r>
          <w:rPr>
            <w:rStyle w:val="Hyperlink"/>
            <w:rFonts w:ascii="Times New Roman" w:hAnsi="Times New Roman"/>
            <w:b w:val="false"/>
            <w:i w:val="false"/>
            <w:color w:val="000000"/>
            <w:sz w:val="22"/>
          </w:rPr>
          <w:t>481—2013.5</w:t>
        </w:r>
      </w:hyperlink>
      <w:r>
        <w:rPr>
          <w:rFonts w:ascii="Times New Roman" w:hAnsi="Times New Roman"/>
          <w:b w:val="false"/>
          <w:i w:val="false"/>
          <w:color w:val="000000"/>
          <w:sz w:val="22"/>
        </w:rPr>
        <w:t xml:space="preserve">(543B), on each transaction for a period of at least five years after the date of the closing. Records mandated by this rule may be retained as an electronic record as provided by rule </w:t>
      </w:r>
      <w:hyperlink r:id="rId5">
        <w:r>
          <w:rPr>
            <w:rStyle w:val="Hyperlink"/>
            <w:rFonts w:ascii="Times New Roman" w:hAnsi="Times New Roman"/>
            <w:b w:val="false"/>
            <w:i w:val="false"/>
            <w:color w:val="000000"/>
            <w:sz w:val="22"/>
          </w:rPr>
          <w:t>481—2013.5</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2013.2(3)</w:t>
      </w:r>
      <w:r>
        <w:rPr>
          <w:rFonts w:ascii="Times New Roman" w:hAnsi="Times New Roman"/>
          <w:b w:val="false"/>
          <w:i w:val="false"/>
          <w:color w:val="000000"/>
          <w:sz w:val="22"/>
        </w:rPr>
        <w:t> </w:t>
      </w:r>
      <w:r>
        <w:rPr>
          <w:rFonts w:ascii="Times New Roman" w:hAnsi="Times New Roman"/>
          <w:b w:val="false"/>
          <w:i w:val="false"/>
          <w:color w:val="000000"/>
          <w:sz w:val="22"/>
        </w:rPr>
        <w:t>The listing broker is responsible for the closing even though the closing may be completed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2013.2(4)</w:t>
      </w:r>
      <w:r>
        <w:rPr>
          <w:rFonts w:ascii="Times New Roman" w:hAnsi="Times New Roman"/>
          <w:b w:val="false"/>
          <w:i w:val="false"/>
          <w:color w:val="000000"/>
          <w:sz w:val="22"/>
        </w:rPr>
        <w:t> </w:t>
      </w:r>
      <w:r>
        <w:rPr>
          <w:rFonts w:ascii="Times New Roman" w:hAnsi="Times New Roman"/>
          <w:b w:val="false"/>
          <w:i w:val="false"/>
          <w:color w:val="000000"/>
          <w:sz w:val="22"/>
        </w:rPr>
        <w:t>If the closing transaction is handled through an unlicensed escrow agent and the escrow agent renders a closing statement, the listing broker ensures that funds which the broker has received or paid as part of the transaction are accounted for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2013.2(5)</w:t>
      </w:r>
      <w:r>
        <w:rPr>
          <w:rFonts w:ascii="Times New Roman" w:hAnsi="Times New Roman"/>
          <w:b w:val="false"/>
          <w:i w:val="false"/>
          <w:color w:val="000000"/>
          <w:sz w:val="22"/>
        </w:rPr>
        <w:t> </w:t>
      </w:r>
      <w:r>
        <w:rPr>
          <w:rFonts w:ascii="Times New Roman" w:hAnsi="Times New Roman"/>
          <w:b w:val="false"/>
          <w:i w:val="false"/>
          <w:color w:val="000000"/>
          <w:sz w:val="22"/>
        </w:rPr>
        <w:t>In the case of a cooperative sale between brokers, the listing broker may elect to close the transaction or, by prior agreement, authorize the selling broker to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listing broker so elects, the selling broker has the buyer make the earnest money check or money order payable to the listing broker and immediately delivers the earnest money check or money order along with the offer to purchase to the listing broker or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the offer to purchase designates that the earnest money is held in trust by the listing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when cash is accepted as earnest money by the selling agent, the selling agent deposits the money in the selling broker’s trust account in accordance with commission rules, and then immediately transfers the earnest money deposit to the listing broker by issuing a check drawn on the selling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2013.2(6)</w:t>
      </w:r>
      <w:r>
        <w:rPr>
          <w:rFonts w:ascii="Times New Roman" w:hAnsi="Times New Roman"/>
          <w:b w:val="false"/>
          <w:i w:val="false"/>
          <w:color w:val="000000"/>
          <w:sz w:val="22"/>
        </w:rPr>
        <w:t> </w:t>
      </w:r>
      <w:r>
        <w:rPr>
          <w:rFonts w:ascii="Times New Roman" w:hAnsi="Times New Roman"/>
          <w:b w:val="false"/>
          <w:i w:val="false"/>
          <w:color w:val="000000"/>
          <w:sz w:val="22"/>
        </w:rPr>
        <w:t>Any means other than cash or an immediately cashable check are not accepted as earnest money unless that fact is communicated to the seller prior to the acceptance of the offer to purchase, and is stated in the offer to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2013.2(7)</w:t>
      </w:r>
      <w:r>
        <w:rPr>
          <w:rFonts w:ascii="Times New Roman" w:hAnsi="Times New Roman"/>
          <w:b w:val="false"/>
          <w:i w:val="false"/>
          <w:color w:val="000000"/>
          <w:sz w:val="22"/>
        </w:rPr>
        <w:t> </w:t>
      </w:r>
      <w:r>
        <w:rPr>
          <w:rFonts w:ascii="Times New Roman" w:hAnsi="Times New Roman"/>
          <w:b w:val="false"/>
          <w:i w:val="false"/>
          <w:color w:val="000000"/>
          <w:sz w:val="22"/>
        </w:rPr>
        <w:t>Brokers acting as agents for the buyer in a specific real estate transaction have the same criteria for retention of copies as stated in this rule, except that a buyer’s agent who is not a party to the listing contract is not obligated to retain a copy of the listing contract or the seller’s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2013.2(8)</w:t>
      </w:r>
      <w:r>
        <w:rPr>
          <w:rFonts w:ascii="Times New Roman" w:hAnsi="Times New Roman"/>
          <w:b w:val="false"/>
          <w:i w:val="false"/>
          <w:color w:val="000000"/>
          <w:sz w:val="22"/>
        </w:rPr>
        <w:t> </w:t>
      </w:r>
      <w:r>
        <w:rPr>
          <w:rFonts w:ascii="Times New Roman" w:hAnsi="Times New Roman"/>
          <w:b w:val="false"/>
          <w:i w:val="false"/>
          <w:color w:val="000000"/>
          <w:sz w:val="22"/>
        </w:rPr>
        <w:t>Iowa Court Rule 37.5, limited real estate practice. All Iowa real estate licensees should be aware that Iowa Court Rule 37.5 authorizes nonlawyers to select, prepare, and complete certain legal documents incident to residential real estate transactions of four units or less. The preparation of documents beyond that authorized by this court rule may constitute the unauthorized practice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3.5.pdf" Type="http://schemas.openxmlformats.org/officeDocument/2006/relationships/hyperlink" Id="rId4"/>
    <Relationship TargetMode="External" Target="https://www.legis.iowa.gov/docs/iac/rule/481.2013.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